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A9" w:rsidRPr="00777EA9" w:rsidRDefault="00777EA9" w:rsidP="00777EA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77E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ПРОЄКТ РІШЕННЯ</w:t>
      </w:r>
    </w:p>
    <w:p w:rsidR="00777EA9" w:rsidRPr="00777EA9" w:rsidRDefault="00777EA9" w:rsidP="00777EA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77E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РОМЕНСЬКОЇ МІСЬКОЇ РАДИ СУМСЬКОЇ ОБЛАСТІ</w:t>
      </w:r>
    </w:p>
    <w:p w:rsidR="00777EA9" w:rsidRDefault="00777EA9" w:rsidP="005951C4">
      <w:pPr>
        <w:pStyle w:val="ac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22FD" w:rsidRDefault="005951C4" w:rsidP="005951C4">
      <w:pPr>
        <w:pStyle w:val="ac"/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66214">
        <w:rPr>
          <w:rFonts w:ascii="Times New Roman" w:hAnsi="Times New Roman"/>
          <w:b/>
          <w:bCs/>
          <w:sz w:val="24"/>
          <w:szCs w:val="24"/>
        </w:rPr>
        <w:t>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0B3EC2" w:rsidRDefault="005951C4" w:rsidP="000B3EC2">
            <w:pPr>
              <w:spacing w:after="120" w:line="276" w:lineRule="auto"/>
              <w:ind w:left="-10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Дата розгляду: </w:t>
            </w:r>
            <w:r w:rsidR="003038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0D64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3038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</w:t>
            </w:r>
            <w:r w:rsidR="000D64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A666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.2026</w:t>
            </w:r>
            <w:r w:rsidR="00A6664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A66643" w:rsidRPr="0006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A666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</w:t>
            </w:r>
          </w:p>
          <w:p w:rsidR="00A66643" w:rsidRPr="000931E1" w:rsidRDefault="000B3EC2" w:rsidP="000D64C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</w:t>
            </w:r>
            <w:r w:rsidR="000D64C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зарядних станцій</w:t>
            </w:r>
            <w:r w:rsidR="009214E3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передачу </w:t>
            </w:r>
            <w:r w:rsidR="00192C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їх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0D6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Виконавчому комітету Роменської міської ради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на праві узуфрукта</w:t>
            </w:r>
          </w:p>
        </w:tc>
      </w:tr>
    </w:tbl>
    <w:p w:rsidR="00A66643" w:rsidRPr="001D0AE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984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35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549CB" w:rsidRPr="003549CB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3549CB" w:rsidRPr="003549CB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984C49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398 Цивільного кодексу України,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81235B" w:rsidRPr="008B0C45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Надати згоду та прийняти до комунальної власності Роменської міської територіальної громади майно у вигляді благодійної допомоги, 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зарядні станції </w:t>
      </w:r>
      <w:r>
        <w:rPr>
          <w:rFonts w:ascii="Times New Roman" w:hAnsi="Times New Roman"/>
          <w:sz w:val="24"/>
          <w:szCs w:val="24"/>
          <w:lang w:val="en-US"/>
        </w:rPr>
        <w:t xml:space="preserve">CHOETECH </w:t>
      </w:r>
      <w:r w:rsidR="00492AA0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BS008/2400B</w:t>
      </w:r>
      <w:r>
        <w:rPr>
          <w:rFonts w:ascii="Times New Roman" w:hAnsi="Times New Roman"/>
          <w:sz w:val="24"/>
          <w:szCs w:val="24"/>
          <w:lang w:val="uk-UA"/>
        </w:rPr>
        <w:t>т/ 2048Вт/год/</w:t>
      </w:r>
      <w:r>
        <w:rPr>
          <w:rFonts w:ascii="Times New Roman" w:hAnsi="Times New Roman"/>
          <w:sz w:val="24"/>
          <w:szCs w:val="24"/>
          <w:lang w:val="en-US"/>
        </w:rPr>
        <w:t>LiFeP04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од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вартістю </w:t>
      </w:r>
      <w:r>
        <w:rPr>
          <w:rFonts w:ascii="Times New Roman" w:hAnsi="Times New Roman"/>
          <w:sz w:val="24"/>
          <w:szCs w:val="24"/>
          <w:lang w:val="uk-UA"/>
        </w:rPr>
        <w:t xml:space="preserve"> 40 600 грн 00 коп. за одиницю</w:t>
      </w:r>
      <w:r w:rsidR="00492AA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0E320D">
        <w:rPr>
          <w:rFonts w:ascii="Times New Roman" w:hAnsi="Times New Roman"/>
          <w:sz w:val="24"/>
          <w:szCs w:val="24"/>
          <w:lang w:val="uk-UA"/>
        </w:rPr>
        <w:t xml:space="preserve"> загальну </w:t>
      </w:r>
      <w:r>
        <w:rPr>
          <w:rFonts w:ascii="Times New Roman" w:hAnsi="Times New Roman"/>
          <w:sz w:val="24"/>
          <w:szCs w:val="24"/>
          <w:lang w:val="uk-UA"/>
        </w:rPr>
        <w:t xml:space="preserve"> суму  81 200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грн</w:t>
      </w:r>
      <w:r>
        <w:rPr>
          <w:rFonts w:ascii="Times New Roman" w:hAnsi="Times New Roman"/>
          <w:sz w:val="24"/>
          <w:szCs w:val="24"/>
          <w:lang w:val="uk-UA"/>
        </w:rPr>
        <w:t xml:space="preserve"> 00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коп. </w:t>
      </w:r>
    </w:p>
    <w:p w:rsidR="0081235B" w:rsidRPr="001D0AE6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3549CB">
        <w:rPr>
          <w:rFonts w:ascii="Times New Roman" w:hAnsi="Times New Roman"/>
          <w:sz w:val="24"/>
          <w:szCs w:val="24"/>
        </w:rPr>
        <w:t>Передати на баланс та в безоплатне володіння та користування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Виконавчому комітету Роменської міської ради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(код ЄДРПОУ </w:t>
      </w:r>
      <w:r>
        <w:rPr>
          <w:rFonts w:ascii="Times New Roman" w:hAnsi="Times New Roman"/>
          <w:sz w:val="24"/>
          <w:szCs w:val="24"/>
          <w:lang w:val="uk-UA"/>
        </w:rPr>
        <w:t>04057988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) (далі – Узуфруктарій) майно, вказане у пункті 1 цього рішення. </w:t>
      </w:r>
    </w:p>
    <w:p w:rsidR="0081235B" w:rsidRPr="001D0AE6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D0AE6">
        <w:rPr>
          <w:rFonts w:ascii="Times New Roman" w:hAnsi="Times New Roman"/>
          <w:sz w:val="24"/>
          <w:szCs w:val="24"/>
        </w:rPr>
        <w:t>Встановити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, що комунальне майно, зазначене в пункті 1 цього рішення, передається </w:t>
      </w:r>
      <w:r>
        <w:rPr>
          <w:rFonts w:ascii="Times New Roman" w:hAnsi="Times New Roman"/>
          <w:sz w:val="24"/>
          <w:szCs w:val="24"/>
          <w:lang w:val="uk-UA"/>
        </w:rPr>
        <w:t>Виконавчому комітету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 на праві</w:t>
      </w:r>
      <w:r w:rsidRPr="001D0AE6">
        <w:rPr>
          <w:rFonts w:ascii="Times New Roman" w:hAnsi="Times New Roman"/>
          <w:sz w:val="24"/>
          <w:szCs w:val="24"/>
        </w:rPr>
        <w:t xml:space="preserve"> узуфрукта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:rsidR="0081235B" w:rsidRPr="001D0AE6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D0AE6">
        <w:rPr>
          <w:rFonts w:ascii="Times New Roman" w:hAnsi="Times New Roman"/>
          <w:sz w:val="24"/>
          <w:szCs w:val="24"/>
          <w:lang w:val="uk-UA"/>
        </w:rPr>
        <w:t>Визначити таке цільове призначення використання комунального майна (</w:t>
      </w:r>
      <w:r>
        <w:rPr>
          <w:rFonts w:ascii="Times New Roman" w:hAnsi="Times New Roman"/>
          <w:sz w:val="24"/>
          <w:szCs w:val="24"/>
          <w:lang w:val="uk-UA"/>
        </w:rPr>
        <w:t>зарядних станцій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) на праві узуфрукта: забезпечення безперервної діяльності </w:t>
      </w:r>
      <w:r>
        <w:rPr>
          <w:rFonts w:ascii="Times New Roman" w:hAnsi="Times New Roman"/>
          <w:sz w:val="24"/>
          <w:szCs w:val="24"/>
          <w:lang w:val="uk-UA"/>
        </w:rPr>
        <w:t>установи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в умовах нестабільного електропостачання.</w:t>
      </w:r>
    </w:p>
    <w:p w:rsidR="0081235B" w:rsidRPr="001D0AE6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У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ю у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мови володіння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користування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комунальним майном, вказаним у пункті 1 цього рішення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81235B" w:rsidRPr="001D0AE6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використову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майно згідно з цільовим призначенням, утриму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передане на праві узуфрукта комунальне майно в належному стані, за власний рахунок проводит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ь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його поточний ремонт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81235B" w:rsidRPr="001D0AE6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несе витрати, пов’язані з утриманням, користуванням та обслуговуванням майна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має право вживати заходів для відшкодування шкоди, завданої власником або третьою особою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81235B" w:rsidRPr="008B0C45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зуфрукт комунального майна припиняється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разі: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припинення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 в результаті його ліквідації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існування майна, щодо якого встановлений узуфрукт комунального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 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міською радою рішення про припинення узуфрукта комунального майна, встановленого безстроково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поєднання в одній особі особи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 і власника комунального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узуфрукта комунального майна за рішенням суду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81235B" w:rsidRPr="008B0C45" w:rsidRDefault="0081235B" w:rsidP="0081235B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інших випадках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встановлених чинним законодавством України.</w:t>
      </w:r>
    </w:p>
    <w:p w:rsidR="0081235B" w:rsidRPr="008B0C45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укласти з </w:t>
      </w:r>
      <w:r>
        <w:rPr>
          <w:rFonts w:ascii="Times New Roman" w:hAnsi="Times New Roman"/>
          <w:sz w:val="24"/>
          <w:szCs w:val="24"/>
          <w:lang w:val="uk-UA"/>
        </w:rPr>
        <w:t>Виконавчим комітетом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 договір узуфрукту комунального майна </w:t>
      </w:r>
      <w:r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:rsidR="0081235B" w:rsidRPr="008B0C45" w:rsidRDefault="0081235B" w:rsidP="0081235B">
      <w:pPr>
        <w:pStyle w:val="ad"/>
        <w:numPr>
          <w:ilvl w:val="0"/>
          <w:numId w:val="21"/>
        </w:numPr>
        <w:tabs>
          <w:tab w:val="left" w:pos="851"/>
        </w:tabs>
        <w:spacing w:after="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81235B" w:rsidRDefault="0081235B" w:rsidP="0081235B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0B3EC2" w:rsidRPr="000B3EC2" w:rsidRDefault="000B3EC2" w:rsidP="000B3EC2">
      <w:pPr>
        <w:shd w:val="clear" w:color="auto" w:fill="FEFEFE"/>
        <w:spacing w:after="120" w:line="276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0B3EC2">
        <w:rPr>
          <w:rFonts w:ascii="Times New Roman" w:hAnsi="Times New Roman" w:cs="Times New Roman"/>
          <w:b/>
          <w:sz w:val="24"/>
          <w:lang w:val="uk-UA"/>
        </w:rPr>
        <w:t>Розробник проєкту – Валентина БОЖЕНКО</w:t>
      </w:r>
      <w:r w:rsidRPr="000B3EC2">
        <w:rPr>
          <w:rFonts w:ascii="Times New Roman" w:hAnsi="Times New Roman" w:cs="Times New Roman"/>
          <w:sz w:val="24"/>
          <w:lang w:val="uk-UA"/>
        </w:rPr>
        <w:t>, начальник відділу-головн</w:t>
      </w:r>
      <w:r w:rsidR="00752D99">
        <w:rPr>
          <w:rFonts w:ascii="Times New Roman" w:hAnsi="Times New Roman" w:cs="Times New Roman"/>
          <w:sz w:val="24"/>
          <w:lang w:val="uk-UA"/>
        </w:rPr>
        <w:t>ий</w:t>
      </w:r>
      <w:r w:rsidRPr="000B3EC2">
        <w:rPr>
          <w:rFonts w:ascii="Times New Roman" w:hAnsi="Times New Roman" w:cs="Times New Roman"/>
          <w:sz w:val="24"/>
          <w:lang w:val="uk-UA"/>
        </w:rPr>
        <w:t xml:space="preserve"> бухгалтер відділу бухгалтерського обліку та господарського забезпечення.</w:t>
      </w:r>
    </w:p>
    <w:p w:rsidR="000B3EC2" w:rsidRPr="000B3EC2" w:rsidRDefault="000B3EC2" w:rsidP="000B3EC2">
      <w:pPr>
        <w:shd w:val="clear" w:color="auto" w:fill="FEFEFE"/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0B3EC2">
        <w:rPr>
          <w:rFonts w:ascii="Times New Roman" w:hAnsi="Times New Roman" w:cs="Times New Roman"/>
          <w:b/>
          <w:sz w:val="24"/>
          <w:lang w:val="uk-UA"/>
        </w:rPr>
        <w:t>Зауваження та пропозиції</w:t>
      </w:r>
      <w:r w:rsidRPr="000B3EC2">
        <w:rPr>
          <w:rFonts w:ascii="Times New Roman" w:hAnsi="Times New Roman" w:cs="Times New Roman"/>
          <w:sz w:val="24"/>
          <w:lang w:val="uk-UA"/>
        </w:rPr>
        <w:t xml:space="preserve"> до проєкту рішення приймаються відділом бухгалтерського обліку та господарського забезпечення за адресою: м. Ромни, бульвар Шевченка, 2, тел. 5-32-93, електронна пошта </w:t>
      </w:r>
      <w:r w:rsidRPr="000B3EC2">
        <w:rPr>
          <w:rFonts w:ascii="Times New Roman" w:hAnsi="Times New Roman" w:cs="Times New Roman"/>
          <w:sz w:val="24"/>
          <w:lang w:val="en-US"/>
        </w:rPr>
        <w:t>buhg</w:t>
      </w:r>
      <w:r w:rsidRPr="000B3EC2">
        <w:rPr>
          <w:rFonts w:ascii="Times New Roman" w:hAnsi="Times New Roman" w:cs="Times New Roman"/>
          <w:sz w:val="24"/>
        </w:rPr>
        <w:t>@</w:t>
      </w:r>
      <w:r w:rsidRPr="000B3EC2">
        <w:rPr>
          <w:rFonts w:ascii="Times New Roman" w:hAnsi="Times New Roman" w:cs="Times New Roman"/>
          <w:sz w:val="24"/>
          <w:lang w:val="en-US"/>
        </w:rPr>
        <w:t>romny</w:t>
      </w:r>
      <w:r w:rsidRPr="000B3EC2">
        <w:rPr>
          <w:rFonts w:ascii="Times New Roman" w:hAnsi="Times New Roman" w:cs="Times New Roman"/>
          <w:sz w:val="24"/>
        </w:rPr>
        <w:t>-</w:t>
      </w:r>
      <w:r w:rsidRPr="000B3EC2">
        <w:rPr>
          <w:rFonts w:ascii="Times New Roman" w:hAnsi="Times New Roman" w:cs="Times New Roman"/>
          <w:sz w:val="24"/>
          <w:lang w:val="en-US"/>
        </w:rPr>
        <w:t>vk</w:t>
      </w:r>
      <w:r w:rsidRPr="000B3EC2">
        <w:rPr>
          <w:rFonts w:ascii="Times New Roman" w:hAnsi="Times New Roman" w:cs="Times New Roman"/>
          <w:sz w:val="24"/>
        </w:rPr>
        <w:t>.</w:t>
      </w:r>
      <w:r w:rsidRPr="000B3EC2">
        <w:rPr>
          <w:rFonts w:ascii="Times New Roman" w:hAnsi="Times New Roman" w:cs="Times New Roman"/>
          <w:sz w:val="24"/>
          <w:lang w:val="en-US"/>
        </w:rPr>
        <w:t>gov</w:t>
      </w:r>
      <w:r w:rsidRPr="000B3EC2">
        <w:rPr>
          <w:rFonts w:ascii="Times New Roman" w:hAnsi="Times New Roman" w:cs="Times New Roman"/>
          <w:sz w:val="24"/>
        </w:rPr>
        <w:t>.</w:t>
      </w:r>
      <w:r w:rsidRPr="000B3EC2">
        <w:rPr>
          <w:rFonts w:ascii="Times New Roman" w:hAnsi="Times New Roman" w:cs="Times New Roman"/>
          <w:sz w:val="24"/>
          <w:lang w:val="en-US"/>
        </w:rPr>
        <w:t>ua</w:t>
      </w:r>
    </w:p>
    <w:p w:rsidR="00A66643" w:rsidRPr="009819CE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235B" w:rsidRPr="00813950" w:rsidRDefault="0081235B" w:rsidP="0081235B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81235B" w:rsidRPr="00813950" w:rsidRDefault="0081235B" w:rsidP="0081235B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проєкту рішення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r w:rsidRPr="00813950">
        <w:rPr>
          <w:rFonts w:ascii="Times New Roman" w:hAnsi="Times New Roman" w:cs="Times New Roman"/>
          <w:b/>
          <w:sz w:val="24"/>
          <w:szCs w:val="24"/>
        </w:rPr>
        <w:t>міської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прийняття до комунальної власності Роменської міської територіальної громади зарядних станцій та передачу їх Виконавчому комітету Роменської міської ради на праві узуфрукта »</w:t>
      </w:r>
    </w:p>
    <w:p w:rsidR="0081235B" w:rsidRPr="001D0AE6" w:rsidRDefault="0081235B" w:rsidP="0081235B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:rsidR="0081235B" w:rsidRPr="00FC1181" w:rsidRDefault="0081235B" w:rsidP="0081235B">
      <w:pPr>
        <w:tabs>
          <w:tab w:val="left" w:pos="851"/>
        </w:tabs>
        <w:spacing w:after="120" w:line="271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C1181">
        <w:rPr>
          <w:rFonts w:ascii="Times New Roman" w:hAnsi="Times New Roman"/>
          <w:sz w:val="24"/>
          <w:szCs w:val="24"/>
          <w:lang w:val="uk-UA"/>
        </w:rPr>
        <w:t xml:space="preserve">Проєкт рішення підготовлено з метою прийняття до комунальної власності Роменської міської територіальної громади майна у вигляді благодійної допомоги – зарядних станцій </w:t>
      </w:r>
      <w:r w:rsidRPr="00FC1181">
        <w:rPr>
          <w:rFonts w:ascii="Times New Roman" w:hAnsi="Times New Roman"/>
          <w:sz w:val="24"/>
          <w:szCs w:val="24"/>
          <w:lang w:val="en-US"/>
        </w:rPr>
        <w:t>CHOETECH BS008/2400B</w:t>
      </w:r>
      <w:r w:rsidRPr="00FC1181">
        <w:rPr>
          <w:rFonts w:ascii="Times New Roman" w:hAnsi="Times New Roman"/>
          <w:sz w:val="24"/>
          <w:szCs w:val="24"/>
          <w:lang w:val="uk-UA"/>
        </w:rPr>
        <w:t>т/ 2048Вт/год/</w:t>
      </w:r>
      <w:r w:rsidRPr="00FC1181">
        <w:rPr>
          <w:rFonts w:ascii="Times New Roman" w:hAnsi="Times New Roman"/>
          <w:sz w:val="24"/>
          <w:szCs w:val="24"/>
          <w:lang w:val="en-US"/>
        </w:rPr>
        <w:t>LiFeP04</w:t>
      </w:r>
      <w:r w:rsidRPr="00FC1181">
        <w:rPr>
          <w:rFonts w:ascii="Times New Roman" w:hAnsi="Times New Roman"/>
          <w:sz w:val="24"/>
          <w:szCs w:val="24"/>
          <w:lang w:val="uk-UA"/>
        </w:rPr>
        <w:t xml:space="preserve"> у кількості 2 од. балансовою  вартістю  40 600 грн 00 коп. за одиницю</w:t>
      </w:r>
      <w:r w:rsidR="00492AA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C1181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0E320D">
        <w:rPr>
          <w:rFonts w:ascii="Times New Roman" w:hAnsi="Times New Roman"/>
          <w:sz w:val="24"/>
          <w:szCs w:val="24"/>
          <w:lang w:val="uk-UA"/>
        </w:rPr>
        <w:t xml:space="preserve"> загальну </w:t>
      </w:r>
      <w:r w:rsidRPr="00FC1181">
        <w:rPr>
          <w:rFonts w:ascii="Times New Roman" w:hAnsi="Times New Roman"/>
          <w:sz w:val="24"/>
          <w:szCs w:val="24"/>
          <w:lang w:val="uk-UA"/>
        </w:rPr>
        <w:t xml:space="preserve"> суму 81 200 грн 00 коп.</w:t>
      </w:r>
    </w:p>
    <w:p w:rsidR="0081235B" w:rsidRPr="00B01320" w:rsidRDefault="0081235B" w:rsidP="0081235B">
      <w:pPr>
        <w:spacing w:after="80"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Форми безоплатного приймання майна від Міжнародної організації з міграції (МОМ), в рамках проєкту МОМ «Відновлення та посилення спроможностей громад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HREF)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1235B" w:rsidRPr="007E6737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умовах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перебоїв електропостачання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пов’язаних з воєнним станом в Україні,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з пріоритетів є забезпечення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безперебійної роботи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установи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Отримані зарядні станції  пропонується передати в користування Виконавчого комітету Роменської міської ради для стабільної роботи установи.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 рішення передбачається: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прийняти до комунальної власності Роменської міської територіальної громади зарядні станції</w:t>
      </w:r>
      <w:r>
        <w:rPr>
          <w:rFonts w:ascii="Times New Roman" w:hAnsi="Times New Roman"/>
          <w:sz w:val="24"/>
          <w:szCs w:val="24"/>
          <w:lang w:val="uk-UA"/>
        </w:rPr>
        <w:t xml:space="preserve"> як благодійну допомогу;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 безстрокове право узуфрукта на зазначене майно;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передати  зарядні станції на баланс та у безоплатне володіння й користування Виконавчому комітету Роменської міської ради;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 цільове призначення використання майна.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Механізм узуфрукта дозволяє зберегти право комунальної власності за територіальною громадою та одночасно забезпечити ефективне використання майна установою.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передається громаді як благодійна допомога, тому витрати на його придбання з місцевого бюджету не здійснюються.</w:t>
      </w:r>
    </w:p>
    <w:p w:rsidR="0081235B" w:rsidRDefault="0081235B" w:rsidP="0081235B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пов’язані з експлуатацією, технічним обслуговуванням та поточним ремонтом обладнання, покладаються на Узуфруктарія – Виконавчий комітет Роменської міської ради.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забезпечить: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енергетичної безпеки установи;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стабільного функціонування установи;</w:t>
      </w:r>
    </w:p>
    <w:p w:rsidR="0081235B" w:rsidRDefault="0081235B" w:rsidP="0081235B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зміцнення матеріально-технічної бази Виконавчого комітету Роменської міської ради.</w:t>
      </w:r>
    </w:p>
    <w:p w:rsidR="0081235B" w:rsidRPr="001D0AE6" w:rsidRDefault="0081235B" w:rsidP="0081235B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 підготовці проєкту рішення враховано Форма безоплатного приймання майна від Міжнародної організації з міграції(МОМ) від 24.06.2026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(дода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ться). </w:t>
      </w:r>
    </w:p>
    <w:p w:rsidR="0081235B" w:rsidRDefault="0081235B" w:rsidP="0081235B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1235B" w:rsidRDefault="0081235B" w:rsidP="0081235B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1235B" w:rsidRPr="00F65FA2" w:rsidRDefault="0081235B" w:rsidP="0081235B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Начальник відділу-головний</w:t>
      </w:r>
      <w:r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бухгалтер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</w:t>
      </w:r>
      <w:r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В</w:t>
      </w:r>
      <w:r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алентина БОЖЕНКО</w:t>
      </w:r>
    </w:p>
    <w:p w:rsidR="0081235B" w:rsidRDefault="0081235B" w:rsidP="00812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FA2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81235B" w:rsidRPr="00C23286" w:rsidRDefault="0081235B" w:rsidP="0081235B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Керуючий справами виконкому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  <w:t xml:space="preserve">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color w:val="1D1B11"/>
          <w:sz w:val="24"/>
          <w:szCs w:val="24"/>
          <w:lang w:val="uk-UA"/>
        </w:rPr>
        <w:t xml:space="preserve">  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Наталія МОСКАЛЕНКО</w:t>
      </w:r>
    </w:p>
    <w:p w:rsidR="0081235B" w:rsidRDefault="0081235B" w:rsidP="00813950">
      <w:pPr>
        <w:spacing w:line="271" w:lineRule="auto"/>
        <w:ind w:left="2832" w:firstLine="708"/>
        <w:rPr>
          <w:b/>
        </w:rPr>
      </w:pPr>
    </w:p>
    <w:sectPr w:rsidR="0081235B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86" w:rsidRDefault="00F47B86">
      <w:pPr>
        <w:spacing w:after="0" w:line="240" w:lineRule="auto"/>
      </w:pPr>
      <w:r>
        <w:separator/>
      </w:r>
    </w:p>
  </w:endnote>
  <w:endnote w:type="continuationSeparator" w:id="0">
    <w:p w:rsidR="00F47B86" w:rsidRDefault="00F4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86" w:rsidRDefault="00F47B86">
      <w:pPr>
        <w:spacing w:after="0" w:line="240" w:lineRule="auto"/>
      </w:pPr>
      <w:r>
        <w:separator/>
      </w:r>
    </w:p>
  </w:footnote>
  <w:footnote w:type="continuationSeparator" w:id="0">
    <w:p w:rsidR="00F47B86" w:rsidRDefault="00F4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650"/>
    <w:multiLevelType w:val="hybridMultilevel"/>
    <w:tmpl w:val="98F45244"/>
    <w:lvl w:ilvl="0" w:tplc="AC327218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300AFB"/>
    <w:multiLevelType w:val="hybridMultilevel"/>
    <w:tmpl w:val="17B6EE92"/>
    <w:lvl w:ilvl="0" w:tplc="DC4CEC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16"/>
  </w:num>
  <w:num w:numId="5">
    <w:abstractNumId w:val="2"/>
  </w:num>
  <w:num w:numId="6">
    <w:abstractNumId w:val="1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10"/>
  </w:num>
  <w:num w:numId="10">
    <w:abstractNumId w:val="7"/>
  </w:num>
  <w:num w:numId="11">
    <w:abstractNumId w:val="8"/>
  </w:num>
  <w:num w:numId="12">
    <w:abstractNumId w:val="10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17"/>
  </w:num>
  <w:num w:numId="19">
    <w:abstractNumId w:val="14"/>
  </w:num>
  <w:num w:numId="20">
    <w:abstractNumId w:val="5"/>
  </w:num>
  <w:num w:numId="21">
    <w:abstractNumId w:val="13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1308"/>
    <w:rsid w:val="00007567"/>
    <w:rsid w:val="000200DE"/>
    <w:rsid w:val="00065971"/>
    <w:rsid w:val="00091346"/>
    <w:rsid w:val="000931E1"/>
    <w:rsid w:val="000A3165"/>
    <w:rsid w:val="000A34A0"/>
    <w:rsid w:val="000A609B"/>
    <w:rsid w:val="000B3EC2"/>
    <w:rsid w:val="000C195D"/>
    <w:rsid w:val="000C73A9"/>
    <w:rsid w:val="000D45FD"/>
    <w:rsid w:val="000D64C0"/>
    <w:rsid w:val="000E25E4"/>
    <w:rsid w:val="000E320D"/>
    <w:rsid w:val="000F1EA2"/>
    <w:rsid w:val="000F259A"/>
    <w:rsid w:val="000F31DF"/>
    <w:rsid w:val="000F4E7C"/>
    <w:rsid w:val="001100AA"/>
    <w:rsid w:val="00192CE2"/>
    <w:rsid w:val="001A1BF9"/>
    <w:rsid w:val="001D0AE6"/>
    <w:rsid w:val="001D66FC"/>
    <w:rsid w:val="001E1948"/>
    <w:rsid w:val="001E3F44"/>
    <w:rsid w:val="002112D2"/>
    <w:rsid w:val="0022003C"/>
    <w:rsid w:val="0024369F"/>
    <w:rsid w:val="0027057D"/>
    <w:rsid w:val="00270E42"/>
    <w:rsid w:val="00274DDE"/>
    <w:rsid w:val="002971DA"/>
    <w:rsid w:val="002B2CF7"/>
    <w:rsid w:val="00301594"/>
    <w:rsid w:val="003038B1"/>
    <w:rsid w:val="00315247"/>
    <w:rsid w:val="00352314"/>
    <w:rsid w:val="003549CB"/>
    <w:rsid w:val="003664B7"/>
    <w:rsid w:val="00372501"/>
    <w:rsid w:val="003778E6"/>
    <w:rsid w:val="0038075A"/>
    <w:rsid w:val="003B0C56"/>
    <w:rsid w:val="003B5201"/>
    <w:rsid w:val="003B56B4"/>
    <w:rsid w:val="003E2511"/>
    <w:rsid w:val="003E4D98"/>
    <w:rsid w:val="004038F7"/>
    <w:rsid w:val="004055FF"/>
    <w:rsid w:val="00437925"/>
    <w:rsid w:val="00444B3A"/>
    <w:rsid w:val="0045421F"/>
    <w:rsid w:val="004622FD"/>
    <w:rsid w:val="004818CC"/>
    <w:rsid w:val="004852B1"/>
    <w:rsid w:val="00492AA0"/>
    <w:rsid w:val="004956F2"/>
    <w:rsid w:val="004E181E"/>
    <w:rsid w:val="00535386"/>
    <w:rsid w:val="00544BF5"/>
    <w:rsid w:val="005529F7"/>
    <w:rsid w:val="00554F7A"/>
    <w:rsid w:val="0056223F"/>
    <w:rsid w:val="00574EA6"/>
    <w:rsid w:val="00576195"/>
    <w:rsid w:val="005776B0"/>
    <w:rsid w:val="00577FF6"/>
    <w:rsid w:val="00582543"/>
    <w:rsid w:val="005951C4"/>
    <w:rsid w:val="005C7C20"/>
    <w:rsid w:val="005E35DE"/>
    <w:rsid w:val="00600F9F"/>
    <w:rsid w:val="00617326"/>
    <w:rsid w:val="00651202"/>
    <w:rsid w:val="00670F09"/>
    <w:rsid w:val="006A0D7E"/>
    <w:rsid w:val="006B2177"/>
    <w:rsid w:val="006C6973"/>
    <w:rsid w:val="006D53BF"/>
    <w:rsid w:val="006E29C6"/>
    <w:rsid w:val="006E61B3"/>
    <w:rsid w:val="006F4F93"/>
    <w:rsid w:val="00703F26"/>
    <w:rsid w:val="00704C32"/>
    <w:rsid w:val="0070769C"/>
    <w:rsid w:val="00752D99"/>
    <w:rsid w:val="00760F9F"/>
    <w:rsid w:val="007612FD"/>
    <w:rsid w:val="007667FA"/>
    <w:rsid w:val="00777EA9"/>
    <w:rsid w:val="00780703"/>
    <w:rsid w:val="0078276C"/>
    <w:rsid w:val="007931FF"/>
    <w:rsid w:val="007D1DD8"/>
    <w:rsid w:val="007D5113"/>
    <w:rsid w:val="0080653E"/>
    <w:rsid w:val="00807BB5"/>
    <w:rsid w:val="0081235B"/>
    <w:rsid w:val="00813950"/>
    <w:rsid w:val="00842F7C"/>
    <w:rsid w:val="0085521C"/>
    <w:rsid w:val="00862914"/>
    <w:rsid w:val="008719DE"/>
    <w:rsid w:val="008B0C45"/>
    <w:rsid w:val="008F07BE"/>
    <w:rsid w:val="009214E3"/>
    <w:rsid w:val="00940CA8"/>
    <w:rsid w:val="00956763"/>
    <w:rsid w:val="00962227"/>
    <w:rsid w:val="00980780"/>
    <w:rsid w:val="009819CE"/>
    <w:rsid w:val="00984C49"/>
    <w:rsid w:val="009873C2"/>
    <w:rsid w:val="00996F14"/>
    <w:rsid w:val="009B2EA9"/>
    <w:rsid w:val="009B6ACB"/>
    <w:rsid w:val="009C7612"/>
    <w:rsid w:val="009D086E"/>
    <w:rsid w:val="009D0FA5"/>
    <w:rsid w:val="009D1C6E"/>
    <w:rsid w:val="009E4CDF"/>
    <w:rsid w:val="009F0EAB"/>
    <w:rsid w:val="009F3678"/>
    <w:rsid w:val="009F3896"/>
    <w:rsid w:val="00A126D2"/>
    <w:rsid w:val="00A213DB"/>
    <w:rsid w:val="00A37630"/>
    <w:rsid w:val="00A3783D"/>
    <w:rsid w:val="00A51038"/>
    <w:rsid w:val="00A54DE9"/>
    <w:rsid w:val="00A655D4"/>
    <w:rsid w:val="00A66643"/>
    <w:rsid w:val="00A72E1C"/>
    <w:rsid w:val="00A947B3"/>
    <w:rsid w:val="00A958F8"/>
    <w:rsid w:val="00AB0F12"/>
    <w:rsid w:val="00B01320"/>
    <w:rsid w:val="00B10488"/>
    <w:rsid w:val="00B17493"/>
    <w:rsid w:val="00B712CF"/>
    <w:rsid w:val="00B8402B"/>
    <w:rsid w:val="00B85D3A"/>
    <w:rsid w:val="00BB22C3"/>
    <w:rsid w:val="00BB5172"/>
    <w:rsid w:val="00BC2EFA"/>
    <w:rsid w:val="00BD1D34"/>
    <w:rsid w:val="00BE0A8A"/>
    <w:rsid w:val="00C22252"/>
    <w:rsid w:val="00C23286"/>
    <w:rsid w:val="00C33FB7"/>
    <w:rsid w:val="00C4342D"/>
    <w:rsid w:val="00C63ADF"/>
    <w:rsid w:val="00C651E5"/>
    <w:rsid w:val="00C74783"/>
    <w:rsid w:val="00C859E4"/>
    <w:rsid w:val="00C91B9F"/>
    <w:rsid w:val="00C95FEA"/>
    <w:rsid w:val="00CB4FE4"/>
    <w:rsid w:val="00CC57F8"/>
    <w:rsid w:val="00CD4E6E"/>
    <w:rsid w:val="00CE46F4"/>
    <w:rsid w:val="00CF5C19"/>
    <w:rsid w:val="00D031E9"/>
    <w:rsid w:val="00D23B21"/>
    <w:rsid w:val="00D344B7"/>
    <w:rsid w:val="00D5797C"/>
    <w:rsid w:val="00D67892"/>
    <w:rsid w:val="00D73E7B"/>
    <w:rsid w:val="00DA0B3F"/>
    <w:rsid w:val="00DA66A9"/>
    <w:rsid w:val="00E175BF"/>
    <w:rsid w:val="00E234AD"/>
    <w:rsid w:val="00E46770"/>
    <w:rsid w:val="00E51275"/>
    <w:rsid w:val="00E55225"/>
    <w:rsid w:val="00E75606"/>
    <w:rsid w:val="00E950AC"/>
    <w:rsid w:val="00EA2437"/>
    <w:rsid w:val="00EB05C8"/>
    <w:rsid w:val="00EC4BF9"/>
    <w:rsid w:val="00EC51AE"/>
    <w:rsid w:val="00ED10CF"/>
    <w:rsid w:val="00EF1DFC"/>
    <w:rsid w:val="00EF7B93"/>
    <w:rsid w:val="00F06353"/>
    <w:rsid w:val="00F10BF9"/>
    <w:rsid w:val="00F1691B"/>
    <w:rsid w:val="00F47B86"/>
    <w:rsid w:val="00F65FA2"/>
    <w:rsid w:val="00F77AD2"/>
    <w:rsid w:val="00FB7E43"/>
    <w:rsid w:val="00FC11E1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910E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3549CB"/>
  </w:style>
  <w:style w:type="character" w:customStyle="1" w:styleId="rvts37">
    <w:name w:val="rvts37"/>
    <w:basedOn w:val="a0"/>
    <w:rsid w:val="0035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1F12-844F-4503-BE1F-31B6580B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4115</Words>
  <Characters>2347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cp:lastPrinted>2026-03-10T12:57:00Z</cp:lastPrinted>
  <dcterms:created xsi:type="dcterms:W3CDTF">2026-06-16T07:29:00Z</dcterms:created>
  <dcterms:modified xsi:type="dcterms:W3CDTF">2026-07-08T05:20:00Z</dcterms:modified>
</cp:coreProperties>
</file>