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E8" w:rsidRDefault="009609E8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562AAF" w:rsidRDefault="00562AAF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p w:rsidR="00FE25A9" w:rsidRPr="00006E43" w:rsidRDefault="00FE25A9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B79A8" w:rsidRPr="001B3363" w:rsidTr="00D75650">
        <w:tc>
          <w:tcPr>
            <w:tcW w:w="3190" w:type="dxa"/>
            <w:hideMark/>
          </w:tcPr>
          <w:p w:rsidR="00EB79A8" w:rsidRPr="001B3363" w:rsidRDefault="00EB79A8" w:rsidP="00D75650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  </w:t>
            </w:r>
            <w:r w:rsidRPr="001B33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24.06.2026</w:t>
            </w:r>
          </w:p>
        </w:tc>
        <w:tc>
          <w:tcPr>
            <w:tcW w:w="3190" w:type="dxa"/>
            <w:hideMark/>
          </w:tcPr>
          <w:p w:rsidR="00EB79A8" w:rsidRPr="001B3363" w:rsidRDefault="00EB79A8" w:rsidP="00D75650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1B336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EB79A8" w:rsidRPr="001B3363" w:rsidRDefault="00EB79A8" w:rsidP="00D75650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EB79A8" w:rsidRPr="00FB0DD1" w:rsidRDefault="00EB79A8" w:rsidP="00EB79A8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стан виконання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</w:t>
      </w:r>
      <w:bookmarkStart w:id="0" w:name="_Hlk227230637"/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3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5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за підсумками 2025 року</w:t>
      </w:r>
    </w:p>
    <w:bookmarkEnd w:id="0"/>
    <w:p w:rsidR="00EB79A8" w:rsidRPr="00FB0DD1" w:rsidRDefault="00EB79A8" w:rsidP="00EB79A8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EB79A8" w:rsidRPr="00FB0DD1" w:rsidRDefault="00EB79A8" w:rsidP="00EB7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</w:t>
      </w:r>
    </w:p>
    <w:p w:rsidR="00EB79A8" w:rsidRPr="00FB0DD1" w:rsidRDefault="00EB79A8" w:rsidP="00EB79A8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B79A8" w:rsidRPr="00561CD7" w:rsidRDefault="00EB79A8" w:rsidP="00EB79A8">
      <w:pPr>
        <w:pStyle w:val="a8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067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Взяти до відома інформацію керуючого справами виконкому Москаленко Н.В. про стан виконання </w:t>
      </w:r>
      <w:r w:rsidRPr="00E067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Програми реформування і розвитку житлово-комунального господарства Роменської міської територіальної громади на 2023-2025 роки, затвердженої рішенням міської ради від 07.12.2022, за підсумками 2025 року (додається).</w:t>
      </w:r>
    </w:p>
    <w:p w:rsidR="00EB79A8" w:rsidRPr="001B3363" w:rsidRDefault="00EB79A8" w:rsidP="00EB79A8">
      <w:pPr>
        <w:pStyle w:val="a8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B3363">
        <w:rPr>
          <w:rFonts w:ascii="Times New Roman" w:eastAsia="Times New Roman" w:hAnsi="Times New Roman" w:cs="Times New Roman"/>
          <w:sz w:val="24"/>
          <w:szCs w:val="24"/>
          <w:lang w:val="uk-UA"/>
        </w:rPr>
        <w:t>Зняти з контролю рішення Роменської міської ради від 07.12.2022 «Про затвердження Програми реформування і розвитку житлово-комунального господарства Роменської міської територіальної громади на 2023-2025 роки».</w:t>
      </w:r>
    </w:p>
    <w:p w:rsidR="00D06045" w:rsidRPr="00A34F74" w:rsidRDefault="00D06045" w:rsidP="00D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Розробник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: </w:t>
      </w:r>
      <w:r w:rsidR="00C814C7">
        <w:rPr>
          <w:rFonts w:ascii="Times New Roman" w:hAnsi="Times New Roman"/>
          <w:color w:val="000000"/>
          <w:sz w:val="24"/>
          <w:szCs w:val="24"/>
          <w:lang w:val="uk-UA" w:eastAsia="zh-CN"/>
        </w:rPr>
        <w:t>Олена ГРЕБЕНЮК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, </w:t>
      </w:r>
      <w:r w:rsidR="00BC2892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начальник управління житлово-комунального господарства Роменської міської ради         </w:t>
      </w: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EE42A1" w:rsidRPr="00611CFA" w:rsidRDefault="00D06045" w:rsidP="00611CFA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приймаються за телефоном 5-43-02 або на електронну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val="uk-UA"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.ua</w:t>
      </w:r>
    </w:p>
    <w:p w:rsidR="00EE42A1" w:rsidRDefault="00EE42A1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2971F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44600" w:rsidRDefault="00A44600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971FC" w:rsidRPr="00FB0DD1" w:rsidRDefault="002971FC" w:rsidP="002971FC">
      <w:pPr>
        <w:spacing w:after="0" w:line="271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ІНФОРМАЦІЯ</w:t>
      </w:r>
    </w:p>
    <w:p w:rsidR="002971FC" w:rsidRPr="008F55B8" w:rsidRDefault="002971FC" w:rsidP="002971FC">
      <w:pPr>
        <w:spacing w:after="0" w:line="271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стан виконання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</w:t>
      </w:r>
    </w:p>
    <w:p w:rsidR="002971FC" w:rsidRPr="008F55B8" w:rsidRDefault="002971FC" w:rsidP="002971FC">
      <w:pPr>
        <w:tabs>
          <w:tab w:val="left" w:pos="3969"/>
        </w:tabs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Pr="00FB0DD1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підсумками 2025 року</w:t>
      </w:r>
    </w:p>
    <w:p w:rsidR="002971FC" w:rsidRPr="00FB0DD1" w:rsidRDefault="002971FC" w:rsidP="002971FC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2971FC" w:rsidRPr="00D20485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Роменської міської ради від 07.12.2022 затверджено </w:t>
      </w:r>
      <w:r w:rsidRPr="00D20485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D20485">
        <w:rPr>
          <w:rFonts w:ascii="Times New Roman" w:hAnsi="Times New Roman"/>
          <w:bCs/>
          <w:sz w:val="24"/>
          <w:szCs w:val="24"/>
          <w:lang w:val="uk-UA"/>
        </w:rPr>
        <w:t xml:space="preserve"> реформування і розвитку житлово-комунального господарства Роменської міської територіальної громади на 2023-2025 роки </w:t>
      </w:r>
      <w:r>
        <w:rPr>
          <w:rFonts w:ascii="Times New Roman" w:hAnsi="Times New Roman"/>
          <w:bCs/>
          <w:sz w:val="24"/>
          <w:szCs w:val="24"/>
          <w:lang w:val="uk-UA"/>
        </w:rPr>
        <w:t>(далі – Програма).</w:t>
      </w:r>
    </w:p>
    <w:p w:rsidR="002971FC" w:rsidRPr="00B634DF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Метою Програми є здійснення заходів щодо підвищення ефективності та надійного функціонування житлово-комунального господарства, забезпечення сталого розвитку для задоволення потреб населення громади в житлово-комунальних послугах належної якості, що відповідає встановленим нормативам та стандартам.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У 2025 році Управлінням житлово-комунального господарства Роменської міської ради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згідно Програми використано  37 295,33361  тис. грн та здійснено такі заходи:</w:t>
      </w:r>
    </w:p>
    <w:p w:rsidR="002971FC" w:rsidRPr="0004600F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4600F">
        <w:rPr>
          <w:rFonts w:ascii="Times New Roman" w:hAnsi="Times New Roman"/>
          <w:bCs/>
          <w:sz w:val="24"/>
          <w:szCs w:val="24"/>
          <w:lang w:val="uk-UA"/>
        </w:rPr>
        <w:t>розділ I.  «Експлуатація та технічне обслуговування житлового фонду»: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2 120,00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кв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м покрівельного матеріалу (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єврорубероїду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) на суму 226,416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48 люків на суму 62,06501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52 мішки цементу на суму 9,0717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3 лічильника електроенергії та 169 м кабелю на суму 20,000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 2 туалетів житлових будинків на суму 27,77215 тис. грн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2971FC" w:rsidRPr="00B33842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B33842">
        <w:rPr>
          <w:rFonts w:ascii="Times New Roman" w:hAnsi="Times New Roman"/>
          <w:bCs/>
          <w:sz w:val="24"/>
          <w:szCs w:val="24"/>
          <w:lang w:val="uk-UA"/>
        </w:rPr>
        <w:t>озділ II «Забезпечення діяльності водопровідно-каналізаційного господарства»: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83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люк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299,880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гідродинамічне очищення системи каналізації на суму 30,180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виготовлено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-кошторисну документацію для проведення капітального ремонту електричних мереж в частині встановлення сонячної електростанції на об’єкті КП «Міськводоканал» Роменської міської ради» (РМР) на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Процівському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водозаборі» на суму 53,33333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капітальний ремонт електричних мереж (встановлення джерела резервного живлення – СЕО 50 кВт) на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Процівському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водозаборі за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: Сумська обл., м. Ромни, вул. Олега Костюка, 60 на суму 540,00000 тис. грн;</w:t>
      </w:r>
    </w:p>
    <w:p w:rsidR="002971FC" w:rsidRPr="00B33842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B33842">
        <w:rPr>
          <w:rFonts w:ascii="Times New Roman" w:hAnsi="Times New Roman"/>
          <w:bCs/>
          <w:sz w:val="24"/>
          <w:szCs w:val="24"/>
          <w:lang w:val="uk-UA"/>
        </w:rPr>
        <w:t>озділ III «Організація благоустрою населених пунктів»: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вивезено стихійних сміттєзвалищ на суму 98,240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отримано транспортні послуги на суму 98,77311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обстежен</w:t>
      </w:r>
      <w:r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прибережно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-захисн</w:t>
      </w:r>
      <w:r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смуг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поверхневих водних об’єктів</w:t>
      </w:r>
      <w:r>
        <w:rPr>
          <w:rFonts w:ascii="Times New Roman" w:hAnsi="Times New Roman"/>
          <w:bCs/>
          <w:sz w:val="24"/>
          <w:szCs w:val="24"/>
          <w:lang w:val="uk-UA"/>
        </w:rPr>
        <w:t>, вартість послуг склала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9,4295 тис. грн;</w:t>
      </w:r>
    </w:p>
    <w:p w:rsidR="002971FC" w:rsidRPr="003457F0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отримано послуги з технічного обслуговування систем освітлення вулиць та </w:t>
      </w:r>
      <w:r w:rsidRPr="003457F0">
        <w:rPr>
          <w:rFonts w:ascii="Times New Roman" w:hAnsi="Times New Roman"/>
          <w:bCs/>
          <w:sz w:val="24"/>
          <w:szCs w:val="24"/>
          <w:lang w:val="uk-UA"/>
        </w:rPr>
        <w:t>громадських місць на суму 1 979,02200 тис. грн;</w:t>
      </w:r>
    </w:p>
    <w:p w:rsidR="002971F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7F0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 вуличного освітлення на суму 769,857 тис. грн;</w:t>
      </w:r>
    </w:p>
    <w:p w:rsidR="002971FC" w:rsidRPr="003457F0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7F0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проведено поточний ремонт 26 підстанцій (КТП 1025, с. Ріпки КТП-294, с. Ведмеже КТП-670, с. Галка КТП-658, с. Загребелля КТП-61, с. </w:t>
      </w:r>
      <w:proofErr w:type="spellStart"/>
      <w:r w:rsidRPr="003457F0">
        <w:rPr>
          <w:rFonts w:ascii="Times New Roman" w:hAnsi="Times New Roman"/>
          <w:bCs/>
          <w:sz w:val="24"/>
          <w:szCs w:val="24"/>
          <w:lang w:val="uk-UA"/>
        </w:rPr>
        <w:t>Пустовійтівка</w:t>
      </w:r>
      <w:proofErr w:type="spellEnd"/>
      <w:r w:rsidRPr="003457F0">
        <w:rPr>
          <w:rFonts w:ascii="Times New Roman" w:hAnsi="Times New Roman"/>
          <w:bCs/>
          <w:sz w:val="24"/>
          <w:szCs w:val="24"/>
          <w:lang w:val="uk-UA"/>
        </w:rPr>
        <w:t xml:space="preserve"> КТП-403, с. Заруддя КТП-615, ТП-1087, ТП-1044, ТП-1025, с. </w:t>
      </w:r>
      <w:proofErr w:type="spellStart"/>
      <w:r w:rsidRPr="003457F0">
        <w:rPr>
          <w:rFonts w:ascii="Times New Roman" w:hAnsi="Times New Roman"/>
          <w:bCs/>
          <w:sz w:val="24"/>
          <w:szCs w:val="24"/>
          <w:lang w:val="uk-UA"/>
        </w:rPr>
        <w:t>Кашпури</w:t>
      </w:r>
      <w:proofErr w:type="spellEnd"/>
      <w:r w:rsidRPr="003457F0">
        <w:rPr>
          <w:rFonts w:ascii="Times New Roman" w:hAnsi="Times New Roman"/>
          <w:bCs/>
          <w:sz w:val="24"/>
          <w:szCs w:val="24"/>
          <w:lang w:val="uk-UA"/>
        </w:rPr>
        <w:t xml:space="preserve"> КТП-95, с. </w:t>
      </w:r>
      <w:proofErr w:type="spellStart"/>
      <w:r w:rsidRPr="003457F0">
        <w:rPr>
          <w:rFonts w:ascii="Times New Roman" w:hAnsi="Times New Roman"/>
          <w:bCs/>
          <w:sz w:val="24"/>
          <w:szCs w:val="24"/>
          <w:lang w:val="uk-UA"/>
        </w:rPr>
        <w:t>Кашпури</w:t>
      </w:r>
      <w:proofErr w:type="spellEnd"/>
      <w:r w:rsidRPr="003457F0">
        <w:rPr>
          <w:rFonts w:ascii="Times New Roman" w:hAnsi="Times New Roman"/>
          <w:bCs/>
          <w:sz w:val="24"/>
          <w:szCs w:val="24"/>
          <w:lang w:val="uk-UA"/>
        </w:rPr>
        <w:t xml:space="preserve"> КТП-529, с. </w:t>
      </w:r>
      <w:proofErr w:type="spellStart"/>
      <w:r w:rsidRPr="003457F0">
        <w:rPr>
          <w:rFonts w:ascii="Times New Roman" w:hAnsi="Times New Roman"/>
          <w:bCs/>
          <w:sz w:val="24"/>
          <w:szCs w:val="24"/>
          <w:lang w:val="uk-UA"/>
        </w:rPr>
        <w:t>Олексіївка</w:t>
      </w:r>
      <w:proofErr w:type="spellEnd"/>
      <w:r w:rsidRPr="003457F0">
        <w:rPr>
          <w:rFonts w:ascii="Times New Roman" w:hAnsi="Times New Roman"/>
          <w:bCs/>
          <w:sz w:val="24"/>
          <w:szCs w:val="24"/>
          <w:lang w:val="uk-UA"/>
        </w:rPr>
        <w:t xml:space="preserve"> КТП-96, ТП-1085, ТП-1012, КТП-97, ЗП-1001, КТП-474, КТП-251, КТП-508, КТП-294, КТП-488, КТП-89, КТП-87, КТП-66, КТП-414) на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суму 109,763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використано електричну енергію для забезпечення вуличного освітлення на суму 2 222,8425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отримано допуск на об’єкти підвищеної небезпеки по обслуговуванню електричних мереж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вартість послуги становить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48,000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здійснено технічне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обслуговування 3</w:t>
      </w:r>
      <w:r>
        <w:rPr>
          <w:rFonts w:ascii="Times New Roman" w:hAnsi="Times New Roman"/>
          <w:bCs/>
          <w:sz w:val="24"/>
          <w:szCs w:val="24"/>
          <w:lang w:val="uk-UA"/>
        </w:rPr>
        <w:t>-х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світлофорних об’єктів</w:t>
      </w:r>
      <w:r>
        <w:rPr>
          <w:rFonts w:ascii="Times New Roman" w:hAnsi="Times New Roman"/>
          <w:bCs/>
          <w:sz w:val="24"/>
          <w:szCs w:val="24"/>
          <w:lang w:val="uk-UA"/>
        </w:rPr>
        <w:t>, вартість послуг становить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18,89264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здійснено утримання квітників, клумб, газонів, скверів на суму 43,29075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здійснено знесення 252 аварійних дерев та обпиловка гілок 32 дерев на суму 1 199,91057 тис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гербіцидна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обробка дерев та порослі на суму 4,3296 тис. грн;</w:t>
      </w:r>
    </w:p>
    <w:p w:rsidR="002971FC" w:rsidRPr="00A3591D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 3</w:t>
      </w:r>
      <w:r>
        <w:rPr>
          <w:rFonts w:ascii="Times New Roman" w:hAnsi="Times New Roman"/>
          <w:bCs/>
          <w:sz w:val="24"/>
          <w:szCs w:val="24"/>
          <w:lang w:val="uk-UA"/>
        </w:rPr>
        <w:t>-х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автобусних </w:t>
      </w:r>
      <w:r w:rsidRPr="003400F3">
        <w:rPr>
          <w:rFonts w:ascii="Times New Roman" w:hAnsi="Times New Roman"/>
          <w:bCs/>
          <w:sz w:val="24"/>
          <w:szCs w:val="24"/>
          <w:lang w:val="uk-UA"/>
        </w:rPr>
        <w:t xml:space="preserve">зупинок («Площа танкова» по вул. Глинська в м. Ромни Сумської області, «Кінцева» по вул. Петропавлівська в м. Ромни Сумської області, «вул. Космонавтів -1» по вул. Космонавтів в м. Ромни Сумської області)   </w:t>
      </w:r>
      <w:r w:rsidRPr="00A3591D">
        <w:rPr>
          <w:rFonts w:ascii="Times New Roman" w:hAnsi="Times New Roman"/>
          <w:bCs/>
          <w:sz w:val="24"/>
          <w:szCs w:val="24"/>
          <w:lang w:val="uk-UA"/>
        </w:rPr>
        <w:t>на суму 94,13894 тис. грн;</w:t>
      </w:r>
    </w:p>
    <w:p w:rsidR="002971FC" w:rsidRPr="00137AA4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3591D">
        <w:rPr>
          <w:rFonts w:ascii="Times New Roman" w:hAnsi="Times New Roman"/>
          <w:bCs/>
          <w:sz w:val="24"/>
          <w:szCs w:val="24"/>
          <w:lang w:val="uk-UA"/>
        </w:rPr>
        <w:t xml:space="preserve">проведено поточний ремонт 5-ти </w:t>
      </w:r>
      <w:proofErr w:type="spellStart"/>
      <w:r w:rsidRPr="00A3591D">
        <w:rPr>
          <w:rFonts w:ascii="Times New Roman" w:hAnsi="Times New Roman"/>
          <w:bCs/>
          <w:sz w:val="24"/>
          <w:szCs w:val="24"/>
          <w:lang w:val="uk-UA"/>
        </w:rPr>
        <w:t>ливневих</w:t>
      </w:r>
      <w:proofErr w:type="spellEnd"/>
      <w:r w:rsidRPr="00A3591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A3591D">
        <w:rPr>
          <w:rFonts w:ascii="Times New Roman" w:hAnsi="Times New Roman"/>
          <w:bCs/>
          <w:sz w:val="24"/>
          <w:szCs w:val="24"/>
          <w:lang w:val="uk-UA"/>
        </w:rPr>
        <w:t>каналізацій</w:t>
      </w:r>
      <w:proofErr w:type="spellEnd"/>
      <w:r w:rsidRPr="00A3591D">
        <w:rPr>
          <w:rFonts w:ascii="Times New Roman" w:hAnsi="Times New Roman"/>
          <w:bCs/>
          <w:sz w:val="24"/>
          <w:szCs w:val="24"/>
          <w:lang w:val="uk-UA"/>
        </w:rPr>
        <w:t xml:space="preserve"> (по вул. </w:t>
      </w:r>
      <w:proofErr w:type="spellStart"/>
      <w:r w:rsidRPr="00A3591D">
        <w:rPr>
          <w:rFonts w:ascii="Times New Roman" w:hAnsi="Times New Roman"/>
          <w:bCs/>
          <w:sz w:val="24"/>
          <w:szCs w:val="24"/>
          <w:lang w:val="uk-UA"/>
        </w:rPr>
        <w:t>Всіхсвятській</w:t>
      </w:r>
      <w:proofErr w:type="spellEnd"/>
      <w:r w:rsidRPr="00A3591D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області,  по вул. Прокопенка в м. Ромни Сумської області,  по вул. Покровський </w:t>
      </w:r>
      <w:r w:rsidRPr="00137AA4">
        <w:rPr>
          <w:rFonts w:ascii="Times New Roman" w:hAnsi="Times New Roman"/>
          <w:bCs/>
          <w:sz w:val="24"/>
          <w:szCs w:val="24"/>
          <w:lang w:val="uk-UA"/>
        </w:rPr>
        <w:t>Узвіз в м. Ромни Сумської області,  по вул. Полтавськ</w:t>
      </w:r>
      <w:r>
        <w:rPr>
          <w:rFonts w:ascii="Times New Roman" w:hAnsi="Times New Roman"/>
          <w:bCs/>
          <w:sz w:val="24"/>
          <w:szCs w:val="24"/>
          <w:lang w:val="uk-UA"/>
        </w:rPr>
        <w:t>ій</w:t>
      </w:r>
      <w:r w:rsidRPr="00137AA4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області, по вул. </w:t>
      </w:r>
      <w:proofErr w:type="spellStart"/>
      <w:r w:rsidRPr="00137AA4">
        <w:rPr>
          <w:rFonts w:ascii="Times New Roman" w:hAnsi="Times New Roman"/>
          <w:bCs/>
          <w:sz w:val="24"/>
          <w:szCs w:val="24"/>
          <w:lang w:val="uk-UA"/>
        </w:rPr>
        <w:t>Пригородськ</w:t>
      </w:r>
      <w:r>
        <w:rPr>
          <w:rFonts w:ascii="Times New Roman" w:hAnsi="Times New Roman"/>
          <w:bCs/>
          <w:sz w:val="24"/>
          <w:szCs w:val="24"/>
          <w:lang w:val="uk-UA"/>
        </w:rPr>
        <w:t>ій</w:t>
      </w:r>
      <w:proofErr w:type="spellEnd"/>
      <w:r w:rsidRPr="00137AA4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області) на суму 81,9685 тис. грн;</w:t>
      </w:r>
    </w:p>
    <w:p w:rsidR="002971FC" w:rsidRPr="00137AA4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37AA4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 9-ти контейнерних майданчиків (бульвар Свободи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37AA4">
        <w:rPr>
          <w:rFonts w:ascii="Times New Roman" w:hAnsi="Times New Roman"/>
          <w:bCs/>
          <w:sz w:val="24"/>
          <w:szCs w:val="24"/>
          <w:lang w:val="uk-UA"/>
        </w:rPr>
        <w:t>буд. 30-32, вул. Київська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37AA4">
        <w:rPr>
          <w:rFonts w:ascii="Times New Roman" w:hAnsi="Times New Roman"/>
          <w:bCs/>
          <w:sz w:val="24"/>
          <w:szCs w:val="24"/>
          <w:lang w:val="uk-UA"/>
        </w:rPr>
        <w:t xml:space="preserve">буд. 78,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вул. Гетьмана Мазепи буд. 1, вул. Рятувальників буд. 88, вул.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буд. 119, вул. Монастирська буд. 30, вул. Вознесенська буд. 15, вул. Монастирська буд. 1, вул. Курганська) </w:t>
      </w:r>
      <w:r w:rsidRPr="00137AA4">
        <w:rPr>
          <w:rFonts w:ascii="Times New Roman" w:hAnsi="Times New Roman"/>
          <w:bCs/>
          <w:sz w:val="24"/>
          <w:szCs w:val="24"/>
          <w:lang w:val="uk-UA"/>
        </w:rPr>
        <w:t>на суму 288,97151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пам’ятника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Богдану Хмельницькому по вул. Героїв </w:t>
      </w:r>
      <w:proofErr w:type="spellStart"/>
      <w:r w:rsidRPr="00931C28">
        <w:rPr>
          <w:rFonts w:ascii="Times New Roman" w:hAnsi="Times New Roman"/>
          <w:bCs/>
          <w:sz w:val="24"/>
          <w:szCs w:val="24"/>
          <w:lang w:val="uk-UA"/>
        </w:rPr>
        <w:t>Роменщини</w:t>
      </w:r>
      <w:proofErr w:type="spellEnd"/>
      <w:r w:rsidRPr="00931C28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  на суму 14,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21266 тис. грн;</w:t>
      </w:r>
    </w:p>
    <w:p w:rsidR="002971FC" w:rsidRPr="00931C28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31C28">
        <w:rPr>
          <w:rFonts w:ascii="Times New Roman" w:hAnsi="Times New Roman"/>
          <w:bCs/>
          <w:sz w:val="24"/>
          <w:szCs w:val="24"/>
          <w:lang w:val="uk-UA"/>
        </w:rPr>
        <w:t xml:space="preserve">проведено поточний ремонт 2-х мостів (пішохідний міст через річку </w:t>
      </w:r>
      <w:proofErr w:type="spellStart"/>
      <w:r w:rsidRPr="00931C28">
        <w:rPr>
          <w:rFonts w:ascii="Times New Roman" w:hAnsi="Times New Roman"/>
          <w:bCs/>
          <w:sz w:val="24"/>
          <w:szCs w:val="24"/>
          <w:lang w:val="uk-UA"/>
        </w:rPr>
        <w:t>Роменку</w:t>
      </w:r>
      <w:proofErr w:type="spellEnd"/>
      <w:r w:rsidRPr="00931C28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</w:t>
      </w:r>
      <w:r w:rsidRPr="00131A4E">
        <w:rPr>
          <w:rFonts w:ascii="Times New Roman" w:hAnsi="Times New Roman"/>
          <w:bCs/>
          <w:sz w:val="24"/>
          <w:szCs w:val="24"/>
          <w:lang w:val="uk-UA"/>
        </w:rPr>
        <w:t>області, пішохідний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31C28">
        <w:rPr>
          <w:rFonts w:ascii="Times New Roman" w:hAnsi="Times New Roman"/>
          <w:bCs/>
          <w:sz w:val="24"/>
          <w:szCs w:val="24"/>
          <w:lang w:val="uk-UA"/>
        </w:rPr>
        <w:t xml:space="preserve">міст по вул. Героїв </w:t>
      </w:r>
      <w:proofErr w:type="spellStart"/>
      <w:r w:rsidRPr="00931C28">
        <w:rPr>
          <w:rFonts w:ascii="Times New Roman" w:hAnsi="Times New Roman"/>
          <w:bCs/>
          <w:sz w:val="24"/>
          <w:szCs w:val="24"/>
          <w:lang w:val="uk-UA"/>
        </w:rPr>
        <w:t>Роменщини</w:t>
      </w:r>
      <w:proofErr w:type="spellEnd"/>
      <w:r w:rsidRPr="00931C28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області) на суму 194,685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 об’єктів дорожньо-транспортної мережі на суму 113,90028 тис. грн;</w:t>
      </w:r>
    </w:p>
    <w:p w:rsidR="002971FC" w:rsidRPr="00FD6092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6092">
        <w:rPr>
          <w:rFonts w:ascii="Times New Roman" w:hAnsi="Times New Roman"/>
          <w:bCs/>
          <w:sz w:val="24"/>
          <w:szCs w:val="24"/>
          <w:lang w:val="uk-UA"/>
        </w:rPr>
        <w:t xml:space="preserve">проведено поточний ремонт малих архітектурних споруд (вуличні лавки по вул. Глинська,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по </w:t>
      </w:r>
      <w:r w:rsidRPr="00FD6092">
        <w:rPr>
          <w:rFonts w:ascii="Times New Roman" w:hAnsi="Times New Roman"/>
          <w:bCs/>
          <w:sz w:val="24"/>
          <w:szCs w:val="24"/>
          <w:lang w:val="uk-UA"/>
        </w:rPr>
        <w:t>бульвару Шевченка т</w:t>
      </w:r>
      <w:r>
        <w:rPr>
          <w:rFonts w:ascii="Times New Roman" w:hAnsi="Times New Roman"/>
          <w:bCs/>
          <w:sz w:val="24"/>
          <w:szCs w:val="24"/>
          <w:lang w:val="uk-UA"/>
        </w:rPr>
        <w:t>а</w:t>
      </w:r>
      <w:r w:rsidRPr="00FD609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по бульвару </w:t>
      </w:r>
      <w:r w:rsidRPr="00FD6092">
        <w:rPr>
          <w:rFonts w:ascii="Times New Roman" w:hAnsi="Times New Roman"/>
          <w:bCs/>
          <w:sz w:val="24"/>
          <w:szCs w:val="24"/>
          <w:lang w:val="uk-UA"/>
        </w:rPr>
        <w:t>Європейському)  на суму 8,11455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встановлено 38 лавок та урн, вартість послуг 38,38066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встановлено 1 дитячий майданчик по вул.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Коржівськ</w:t>
      </w:r>
      <w:r>
        <w:rPr>
          <w:rFonts w:ascii="Times New Roman" w:hAnsi="Times New Roman"/>
          <w:bCs/>
          <w:sz w:val="24"/>
          <w:szCs w:val="24"/>
          <w:lang w:val="uk-UA"/>
        </w:rPr>
        <w:t>ій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, 2 в м. Ромни Сумської області, вартість послуги  23,761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встановлено 10 урн, вартість послуг 12,56149 тис. грн;</w:t>
      </w:r>
    </w:p>
    <w:p w:rsidR="002971FC" w:rsidRPr="00BF7A2E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укладено тротуарну плитк</w:t>
      </w:r>
      <w:r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у сквері по вул. Героїв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Роменщини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області, </w:t>
      </w:r>
      <w:r w:rsidRPr="00BF7A2E">
        <w:rPr>
          <w:rFonts w:ascii="Times New Roman" w:hAnsi="Times New Roman"/>
          <w:bCs/>
          <w:sz w:val="24"/>
          <w:szCs w:val="24"/>
          <w:lang w:val="uk-UA"/>
        </w:rPr>
        <w:t>вартість послуги 63,835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F7A2E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проведено перевірку та обстеження водної акваторії річки Сула (с. </w:t>
      </w:r>
      <w:proofErr w:type="spellStart"/>
      <w:r w:rsidRPr="00BF7A2E">
        <w:rPr>
          <w:rFonts w:ascii="Times New Roman" w:hAnsi="Times New Roman"/>
          <w:bCs/>
          <w:sz w:val="24"/>
          <w:szCs w:val="24"/>
          <w:lang w:val="uk-UA"/>
        </w:rPr>
        <w:t>Пустовійтівка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BF7A2E">
        <w:rPr>
          <w:rFonts w:ascii="Times New Roman" w:hAnsi="Times New Roman"/>
          <w:bCs/>
          <w:sz w:val="24"/>
          <w:szCs w:val="24"/>
          <w:lang w:val="uk-UA"/>
        </w:rPr>
        <w:t xml:space="preserve"> місце відпочинку «Веселий берег»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BF7A2E">
        <w:rPr>
          <w:rFonts w:ascii="Times New Roman" w:hAnsi="Times New Roman"/>
          <w:bCs/>
          <w:sz w:val="24"/>
          <w:szCs w:val="24"/>
          <w:lang w:val="uk-UA"/>
        </w:rPr>
        <w:t xml:space="preserve"> с. Москалівка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BF7A2E">
        <w:rPr>
          <w:rFonts w:ascii="Times New Roman" w:hAnsi="Times New Roman"/>
          <w:bCs/>
          <w:sz w:val="24"/>
          <w:szCs w:val="24"/>
          <w:lang w:val="uk-UA"/>
        </w:rPr>
        <w:t xml:space="preserve"> місце відпочинку колишній табір «Орбіта»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BF7A2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br/>
      </w:r>
      <w:r w:rsidRPr="00BF7A2E">
        <w:rPr>
          <w:rFonts w:ascii="Times New Roman" w:hAnsi="Times New Roman"/>
          <w:bCs/>
          <w:sz w:val="24"/>
          <w:szCs w:val="24"/>
          <w:lang w:val="uk-UA"/>
        </w:rPr>
        <w:t>м. Ромни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BF7A2E">
        <w:rPr>
          <w:rFonts w:ascii="Times New Roman" w:hAnsi="Times New Roman"/>
          <w:bCs/>
          <w:sz w:val="24"/>
          <w:szCs w:val="24"/>
          <w:lang w:val="uk-UA"/>
        </w:rPr>
        <w:t xml:space="preserve"> місце відпочинку «Колишня човнова станція»)  на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суму 60,57244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нанесено 2 101,35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кв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. м та 46,08 км дорожньої розмітки на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вулично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-дорожню мережу та пішохідні переходи Роменської міської територіальної громади на суму 1 893,00019 тис. грн та здійснено технічний нагляд за виконанням будівельно-монт</w:t>
      </w:r>
      <w:r w:rsidRPr="00D91D62">
        <w:rPr>
          <w:rFonts w:ascii="Times New Roman" w:hAnsi="Times New Roman"/>
          <w:bCs/>
          <w:sz w:val="24"/>
          <w:szCs w:val="24"/>
          <w:lang w:val="uk-UA"/>
        </w:rPr>
        <w:t xml:space="preserve">ажних робіт по об’єкту «Нанесення дорожньої розмітки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на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вулично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-дорожню мережу та пішохідні переходи</w:t>
      </w:r>
      <w:r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19,77202 тис. грн;</w:t>
      </w:r>
    </w:p>
    <w:p w:rsidR="002971FC" w:rsidRPr="00131A4E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49F1">
        <w:rPr>
          <w:rFonts w:ascii="Times New Roman" w:hAnsi="Times New Roman"/>
          <w:bCs/>
          <w:sz w:val="24"/>
          <w:szCs w:val="24"/>
          <w:lang w:val="uk-UA"/>
        </w:rPr>
        <w:t xml:space="preserve">проведено поточний ремонт тротуарів в м. Ромни Сумської області (вул. </w:t>
      </w:r>
      <w:proofErr w:type="spellStart"/>
      <w:r w:rsidRPr="00CA49F1">
        <w:rPr>
          <w:rFonts w:ascii="Times New Roman" w:hAnsi="Times New Roman"/>
          <w:bCs/>
          <w:sz w:val="24"/>
          <w:szCs w:val="24"/>
          <w:lang w:val="uk-UA"/>
        </w:rPr>
        <w:t>Коржівська</w:t>
      </w:r>
      <w:proofErr w:type="spellEnd"/>
      <w:r w:rsidRPr="00CA49F1">
        <w:rPr>
          <w:rFonts w:ascii="Times New Roman" w:hAnsi="Times New Roman"/>
          <w:bCs/>
          <w:sz w:val="24"/>
          <w:szCs w:val="24"/>
          <w:lang w:val="uk-UA"/>
        </w:rPr>
        <w:t xml:space="preserve">, бульвар Європейський, вул. Герої </w:t>
      </w:r>
      <w:proofErr w:type="spellStart"/>
      <w:r w:rsidRPr="00131A4E">
        <w:rPr>
          <w:rFonts w:ascii="Times New Roman" w:hAnsi="Times New Roman"/>
          <w:bCs/>
          <w:sz w:val="24"/>
          <w:szCs w:val="24"/>
          <w:lang w:val="uk-UA"/>
        </w:rPr>
        <w:t>Роменщини</w:t>
      </w:r>
      <w:proofErr w:type="spellEnd"/>
      <w:r w:rsidRPr="00131A4E">
        <w:rPr>
          <w:rFonts w:ascii="Times New Roman" w:hAnsi="Times New Roman"/>
          <w:bCs/>
          <w:sz w:val="24"/>
          <w:szCs w:val="24"/>
          <w:lang w:val="uk-UA"/>
        </w:rPr>
        <w:t xml:space="preserve">, вул. Аптекарська, вул. Вознесенська) загальною площею 1 243,77 </w:t>
      </w:r>
      <w:proofErr w:type="spellStart"/>
      <w:r w:rsidRPr="00131A4E">
        <w:rPr>
          <w:rFonts w:ascii="Times New Roman" w:hAnsi="Times New Roman"/>
          <w:bCs/>
          <w:sz w:val="24"/>
          <w:szCs w:val="24"/>
          <w:lang w:val="uk-UA"/>
        </w:rPr>
        <w:t>кв</w:t>
      </w:r>
      <w:proofErr w:type="spellEnd"/>
      <w:r w:rsidRPr="00131A4E">
        <w:rPr>
          <w:rFonts w:ascii="Times New Roman" w:hAnsi="Times New Roman"/>
          <w:bCs/>
          <w:sz w:val="24"/>
          <w:szCs w:val="24"/>
          <w:lang w:val="uk-UA"/>
        </w:rPr>
        <w:t>. м на суму 1 734,53098 тис. грн та здійснено технічний нагляд за виконанням будівельно-монтажних робіт на цих об’єктах на суму 21,41445 тис. грн;</w:t>
      </w:r>
    </w:p>
    <w:p w:rsidR="002971FC" w:rsidRPr="00131A4E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31A4E">
        <w:rPr>
          <w:rFonts w:ascii="Times New Roman" w:hAnsi="Times New Roman"/>
          <w:bCs/>
          <w:sz w:val="24"/>
          <w:szCs w:val="24"/>
          <w:lang w:val="uk-UA"/>
        </w:rPr>
        <w:t xml:space="preserve">проведено поточний ремонт дорожнього покриття по вулиці Героїв </w:t>
      </w:r>
      <w:proofErr w:type="spellStart"/>
      <w:r w:rsidRPr="00131A4E">
        <w:rPr>
          <w:rFonts w:ascii="Times New Roman" w:hAnsi="Times New Roman"/>
          <w:bCs/>
          <w:sz w:val="24"/>
          <w:szCs w:val="24"/>
          <w:lang w:val="uk-UA"/>
        </w:rPr>
        <w:t>Роменщини</w:t>
      </w:r>
      <w:proofErr w:type="spellEnd"/>
      <w:r w:rsidRPr="00131A4E">
        <w:rPr>
          <w:rFonts w:ascii="Times New Roman" w:hAnsi="Times New Roman"/>
          <w:bCs/>
          <w:sz w:val="24"/>
          <w:szCs w:val="24"/>
          <w:lang w:val="uk-UA"/>
        </w:rPr>
        <w:t xml:space="preserve"> Роменської міської територіальної громади (середній) загальною площею 5 260,42 </w:t>
      </w:r>
      <w:proofErr w:type="spellStart"/>
      <w:r w:rsidRPr="00131A4E">
        <w:rPr>
          <w:rFonts w:ascii="Times New Roman" w:hAnsi="Times New Roman"/>
          <w:bCs/>
          <w:sz w:val="24"/>
          <w:szCs w:val="24"/>
          <w:lang w:val="uk-UA"/>
        </w:rPr>
        <w:t>кв</w:t>
      </w:r>
      <w:proofErr w:type="spellEnd"/>
      <w:r w:rsidRPr="00131A4E">
        <w:rPr>
          <w:rFonts w:ascii="Times New Roman" w:hAnsi="Times New Roman"/>
          <w:bCs/>
          <w:sz w:val="24"/>
          <w:szCs w:val="24"/>
          <w:lang w:val="uk-UA"/>
        </w:rPr>
        <w:t>. м на суму 3 068,998 тис. грн та здійснено технічний нагляд за виконанням будівельно-монтажних робіт на цьому об’єкті на суму 38,32274 тис. грн;</w:t>
      </w:r>
    </w:p>
    <w:p w:rsidR="002971FC" w:rsidRPr="00131A4E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31A4E">
        <w:rPr>
          <w:rFonts w:ascii="Times New Roman" w:hAnsi="Times New Roman"/>
          <w:bCs/>
          <w:sz w:val="24"/>
          <w:szCs w:val="24"/>
          <w:lang w:val="uk-UA"/>
        </w:rPr>
        <w:t xml:space="preserve">здійснено експлуатаційне утримання автомобільних доріг загального користування державного та місцевого значення по вул. </w:t>
      </w:r>
      <w:proofErr w:type="spellStart"/>
      <w:r w:rsidRPr="00131A4E">
        <w:rPr>
          <w:rFonts w:ascii="Times New Roman" w:hAnsi="Times New Roman"/>
          <w:bCs/>
          <w:sz w:val="24"/>
          <w:szCs w:val="24"/>
          <w:lang w:val="uk-UA"/>
        </w:rPr>
        <w:t>Дудіна</w:t>
      </w:r>
      <w:proofErr w:type="spellEnd"/>
      <w:r w:rsidRPr="00131A4E">
        <w:rPr>
          <w:rFonts w:ascii="Times New Roman" w:hAnsi="Times New Roman"/>
          <w:bCs/>
          <w:sz w:val="24"/>
          <w:szCs w:val="24"/>
          <w:lang w:val="uk-UA"/>
        </w:rPr>
        <w:t xml:space="preserve">, вул. </w:t>
      </w:r>
      <w:proofErr w:type="spellStart"/>
      <w:r w:rsidRPr="00131A4E">
        <w:rPr>
          <w:rFonts w:ascii="Times New Roman" w:hAnsi="Times New Roman"/>
          <w:bCs/>
          <w:sz w:val="24"/>
          <w:szCs w:val="24"/>
          <w:lang w:val="uk-UA"/>
        </w:rPr>
        <w:t>Адамцевича</w:t>
      </w:r>
      <w:proofErr w:type="spellEnd"/>
      <w:r w:rsidRPr="00131A4E">
        <w:rPr>
          <w:rFonts w:ascii="Times New Roman" w:hAnsi="Times New Roman"/>
          <w:bCs/>
          <w:sz w:val="24"/>
          <w:szCs w:val="24"/>
          <w:lang w:val="uk-UA"/>
        </w:rPr>
        <w:t xml:space="preserve">, вул. Калнишевського та вул. Героїв </w:t>
      </w:r>
      <w:proofErr w:type="spellStart"/>
      <w:r w:rsidRPr="00131A4E">
        <w:rPr>
          <w:rFonts w:ascii="Times New Roman" w:hAnsi="Times New Roman"/>
          <w:bCs/>
          <w:sz w:val="24"/>
          <w:szCs w:val="24"/>
          <w:lang w:val="uk-UA"/>
        </w:rPr>
        <w:t>Роменщини</w:t>
      </w:r>
      <w:proofErr w:type="spellEnd"/>
      <w:r w:rsidRPr="00131A4E">
        <w:rPr>
          <w:rFonts w:ascii="Times New Roman" w:hAnsi="Times New Roman"/>
          <w:bCs/>
          <w:sz w:val="24"/>
          <w:szCs w:val="24"/>
          <w:lang w:val="uk-UA"/>
        </w:rPr>
        <w:t xml:space="preserve"> Роменської міської територіальної громади на суму 2 529,01590 тис. грн та проведено технічний нагляд за виконанням будівельно-монтажних робіт на суму 31,51563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встановлено 58 дорожніх знаків, вартість послуг 44,79801 тис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передпроєктні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роботи, що не включені до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-кошторисної документації, а саме: інженерно-геодезичні роботи на об'єкті </w:t>
      </w:r>
      <w:r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Капітальний ремонт тротуарів з облаштуванням пандусів та з</w:t>
      </w:r>
      <w:r>
        <w:rPr>
          <w:rFonts w:ascii="Times New Roman" w:hAnsi="Times New Roman"/>
          <w:bCs/>
          <w:sz w:val="24"/>
          <w:szCs w:val="24"/>
          <w:lang w:val="uk-UA"/>
        </w:rPr>
        <w:t>’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їздів по вулицях міста Ромни Сумської області</w:t>
      </w:r>
      <w:r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21,106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53 контейнери для сміття на суму 304,000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 35 урн для сміття на суму 77,000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63 дорожніх знак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95,5014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посадкового матеріалу на суму 99,330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122 од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декоративних зелених насаджень на суму 60,290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матеріалів, будівельних матеріалів, інвентарю та інструментів для проведення ремонтних робіт господарським способом на суму 199,963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207 т солі на суму 748,9881 тис. грн;</w:t>
      </w:r>
    </w:p>
    <w:p w:rsidR="002971FC" w:rsidRPr="000B1955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4 пам’ятних стел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98,000 тис. грн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0B1955">
        <w:rPr>
          <w:rFonts w:ascii="Times New Roman" w:hAnsi="Times New Roman"/>
          <w:bCs/>
          <w:sz w:val="24"/>
          <w:szCs w:val="24"/>
          <w:lang w:val="uk-UA"/>
        </w:rPr>
        <w:t>(для розміщення фотографій загиблих воїнів на Алеї Слави в м. Ромни);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4 002 т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щебеню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та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щебенево-піщаної суміші на суму 1 619,98959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357 од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мінеральних добрив та засобів захисту рослин на суму 13,328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40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антипаркувальних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півсфер на суму 19,200 тис. грн;</w:t>
      </w:r>
    </w:p>
    <w:p w:rsidR="002971FC" w:rsidRPr="00131A4E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5ED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проведено поточний ремонт </w:t>
      </w:r>
      <w:proofErr w:type="spellStart"/>
      <w:r w:rsidRPr="003115ED">
        <w:rPr>
          <w:rFonts w:ascii="Times New Roman" w:hAnsi="Times New Roman"/>
          <w:bCs/>
          <w:sz w:val="24"/>
          <w:szCs w:val="24"/>
          <w:lang w:val="uk-UA"/>
        </w:rPr>
        <w:t>внутрішньоквартальних</w:t>
      </w:r>
      <w:proofErr w:type="spellEnd"/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проїздів в м. Ромни Сумської області (вул. Рятувальників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86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</w:t>
      </w:r>
      <w:proofErr w:type="spellStart"/>
      <w:r w:rsidRPr="003115ED">
        <w:rPr>
          <w:rFonts w:ascii="Times New Roman" w:hAnsi="Times New Roman"/>
          <w:bCs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</w:t>
      </w:r>
      <w:proofErr w:type="spellStart"/>
      <w:r w:rsidRPr="003115ED">
        <w:rPr>
          <w:rFonts w:ascii="Times New Roman" w:hAnsi="Times New Roman"/>
          <w:bCs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88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Аптекарська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21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Гетьмана Мазепи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21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Гетьмана Мазепи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51 А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Вознесенська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15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Героїв Роменщини</w:t>
      </w:r>
      <w:r>
        <w:rPr>
          <w:rFonts w:ascii="Times New Roman" w:hAnsi="Times New Roman"/>
          <w:bCs/>
          <w:sz w:val="24"/>
          <w:szCs w:val="24"/>
          <w:lang w:val="uk-UA"/>
        </w:rPr>
        <w:t>,240;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1-ий провулок Гетьмана Мазепи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Соборна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5ED">
        <w:rPr>
          <w:rFonts w:ascii="Times New Roman" w:hAnsi="Times New Roman"/>
          <w:bCs/>
          <w:sz w:val="24"/>
          <w:szCs w:val="24"/>
          <w:lang w:val="uk-UA"/>
        </w:rPr>
        <w:t>бул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Шевченка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8) на суму 5 467,61098 тис. грн та здійснено технічний нагляд за виконанням будівельно-монтажних </w:t>
      </w:r>
      <w:r w:rsidRPr="00131A4E">
        <w:rPr>
          <w:rFonts w:ascii="Times New Roman" w:hAnsi="Times New Roman"/>
          <w:bCs/>
          <w:sz w:val="24"/>
          <w:szCs w:val="24"/>
          <w:lang w:val="uk-UA"/>
        </w:rPr>
        <w:t>робіт на вказаних об’єктах на суму 67,63512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31A4E">
        <w:rPr>
          <w:rFonts w:ascii="Times New Roman" w:hAnsi="Times New Roman"/>
          <w:bCs/>
          <w:sz w:val="24"/>
          <w:szCs w:val="24"/>
          <w:lang w:val="uk-UA"/>
        </w:rPr>
        <w:t>проведено аналіз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води та дезінфекція 50 колодязів громадського користування на суму 48,99480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 та очищення 1 колодязя громадського користування на суму 13,47433 тис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погашено заборгованість за рішенням суду на суму 298,6762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проплачено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судовий збір на суму 4,48014 тис. грн;</w:t>
      </w:r>
    </w:p>
    <w:p w:rsidR="002971FC" w:rsidRPr="00AE0253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71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AE0253">
        <w:rPr>
          <w:rFonts w:ascii="Times New Roman" w:hAnsi="Times New Roman"/>
          <w:bCs/>
          <w:sz w:val="24"/>
          <w:szCs w:val="24"/>
          <w:lang w:val="uk-UA"/>
        </w:rPr>
        <w:t xml:space="preserve">озділ IV. «Керівництво і управління у відповідній сфері у містах (місті Києві), селищах, селах, об’єднаних територіальних громадах»: 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оцінку майна 3 нежитлових приміщень, які перебувають в комунальній власності Роменської міської ради на суму 9,000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4 системних блоків </w:t>
      </w:r>
      <w:r w:rsidRPr="005D667C">
        <w:rPr>
          <w:rFonts w:ascii="Times New Roman" w:hAnsi="Times New Roman"/>
          <w:bCs/>
          <w:sz w:val="24"/>
          <w:szCs w:val="24"/>
          <w:lang w:val="en-US"/>
        </w:rPr>
        <w:t>AMD Ryzen 5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49,800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отримано </w:t>
      </w:r>
      <w:r>
        <w:rPr>
          <w:rFonts w:ascii="Times New Roman" w:hAnsi="Times New Roman"/>
          <w:bCs/>
          <w:sz w:val="24"/>
          <w:szCs w:val="24"/>
          <w:lang w:val="uk-UA"/>
        </w:rPr>
        <w:t>10 витягів із Спадкового реєстру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про наявність або відсутність заведеної спадкової справи</w:t>
      </w:r>
      <w:r>
        <w:rPr>
          <w:rFonts w:ascii="Times New Roman" w:hAnsi="Times New Roman"/>
          <w:bCs/>
          <w:sz w:val="24"/>
          <w:szCs w:val="24"/>
          <w:lang w:val="uk-UA"/>
        </w:rPr>
        <w:t>, вартість послуг становить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4,010 тис. грн;</w:t>
      </w:r>
    </w:p>
    <w:p w:rsidR="002971FC" w:rsidRPr="00AE0253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AE0253">
        <w:rPr>
          <w:rFonts w:ascii="Times New Roman" w:hAnsi="Times New Roman"/>
          <w:bCs/>
          <w:sz w:val="24"/>
          <w:szCs w:val="24"/>
          <w:lang w:val="uk-UA"/>
        </w:rPr>
        <w:t>озділ V. «Забезпечення надійної та безперебійної експлуатації ліфтів»: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експертне обстеження 12 пасажирських ліфтів на суму 52,092 тис. грн;</w:t>
      </w:r>
    </w:p>
    <w:p w:rsidR="002971FC" w:rsidRPr="00AE0253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AE0253">
        <w:rPr>
          <w:rFonts w:ascii="Times New Roman" w:hAnsi="Times New Roman"/>
          <w:bCs/>
          <w:sz w:val="24"/>
          <w:szCs w:val="24"/>
          <w:lang w:val="uk-UA"/>
        </w:rPr>
        <w:t>озділ VI. «Будівництво об’єктів житлово-комунального господарства»: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виготовлено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-кошторисну документацію для проведення капітального ремонту ліфтів по вул. Героїв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Роменщини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, 248 в м. Ромни Сумської області на суму 87,000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капітальний ремонт пасажирських ліфтів в житловому будинку за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: вул. Руденка, 32, під’їзди: 1, 2, 4 в м. Ромни Сумської області на суму 297,86497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капітальний ремонт пасажирських ліфтів в житловому будинку за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бульв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. Свободи, 2, під’їзди: 1, 2, 3 в м. Ромни Сумської області на суму 221,79237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капітальний ремонт пасажирських ліфтів в житловому будинку за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: вул. Петра Калнишевського, 34, під'їзди: 1, 2 в м. Ромни Сумської області на суму 156,82322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капітальний ремонт пасажирського ліфта в житловому будинку за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: вул. Героїв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Роменщини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, 248 А, під’їзд: 1 в м. Ромни Сумської області на суму 91,26077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капітальний ремонт пасажирського ліфта (заміна котушки МП-201) за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м.Ромни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вул.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Гостиннодвірська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, 12А в м. Ромни Сумської області на суму 5,19508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коригування робочого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реконструкції вуличного водопроводу по вул.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Коржівській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 на суму 69,553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розроблено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-кошторисну документацію для реконструкції котельні за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: Сумська область, м. Ромни, вул. Рятувальників на суму 528,20421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розроблено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-кошторисну документацію для реконструкції котельні за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: Сумська область, м. Ромни, вул. Аптекарська на суму 428,20421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експертизу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проєктної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документації на реконструкцію частини нежитлового приміщення (амбулаторії) під гуртожиток для внутрішньо переміщених осіб по вул. Береговій, 129 в с.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Пустовойтівка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Роменського району Сумської області на суму 11,10857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експертизу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проєктної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документації на реконструкцію частини нежитлового приміщення (амбулаторії) під гуртожиток для внутрішньо переміщених осіб по вул. Береговій, 129 в с.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Пустовійтівка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Роменського району Сумської області (інженерні мережі) на суму 7,27435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розроблено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-кошторисну документацію на реконструкцію частини нежитлового приміщення (амбулаторії) під гуртожиток для внутрішньо переміщених осіб по вул. Береговій, 129 в с.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Пустовійтівка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Роменського району Сумської області (інженерні мережі) на суму 30,261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реконструкцію вуличного водопроводу по вул.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Коржівській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 на суму 1 629,83940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розроблено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-кошторисну документацію на реконструкцію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Процівського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водозабору по вул. О. Костюка, 60 в м. Ромни Сумської області (одержувач коштів КП «Міськводоканал» РМР) на суму 700,000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розроблено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-кошторисну документацію на реконструкцію напірного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колектора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від каналізаційної насосної станції в с.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Овлаші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Роменського району до каналізаційної мережі по вул. Прокопенка в м. Ромни на суму 125,97445 тис. грн;</w:t>
      </w:r>
    </w:p>
    <w:p w:rsidR="002971FC" w:rsidRPr="00AE0253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AE0253">
        <w:rPr>
          <w:rFonts w:ascii="Times New Roman" w:hAnsi="Times New Roman"/>
          <w:bCs/>
          <w:sz w:val="24"/>
          <w:szCs w:val="24"/>
          <w:lang w:val="uk-UA"/>
        </w:rPr>
        <w:t>озділ IX. «Природоохоронні заходи за рахунок цільових фондів»: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44 контейнер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для сміття (одержувач КП «Комбінат комунальних підприємств» РМР) на суму 238,400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24 контейнерів-сіток для пластику на суму 127,200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та встановлено індикативний пункт спостереження за станом атмосферного повітря у м. Ромни на суму 981,67446 тис. грн;</w:t>
      </w:r>
    </w:p>
    <w:p w:rsidR="002971FC" w:rsidRPr="00AE0253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AE0253">
        <w:rPr>
          <w:rFonts w:ascii="Times New Roman" w:hAnsi="Times New Roman"/>
          <w:bCs/>
          <w:sz w:val="24"/>
          <w:szCs w:val="24"/>
          <w:lang w:val="uk-UA"/>
        </w:rPr>
        <w:t>озділ X.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отримано послуги бульдозера з ущільнення побутового сміття на полігоні твердих побутових відходів на території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Пустовійтівського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старостинського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округу на суму 85,000 тис. грн;</w:t>
      </w:r>
    </w:p>
    <w:p w:rsidR="002971FC" w:rsidRPr="0048732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48732C">
        <w:rPr>
          <w:rFonts w:ascii="Times New Roman" w:hAnsi="Times New Roman"/>
          <w:bCs/>
          <w:sz w:val="24"/>
          <w:szCs w:val="24"/>
          <w:lang w:val="uk-UA"/>
        </w:rPr>
        <w:t>озділ XI. «Інші заходи в галузі культури і мистецтва»: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 Алеї Слави зі встановленням 6 пам’ятних стел в м. Ромни Сумської області на суму 69,58598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встановлено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9 фотостендів в сквері по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бульв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. Свободи в м. Ромни Сумської області</w:t>
      </w:r>
      <w:r>
        <w:rPr>
          <w:rFonts w:ascii="Times New Roman" w:hAnsi="Times New Roman"/>
          <w:bCs/>
          <w:sz w:val="24"/>
          <w:szCs w:val="24"/>
          <w:lang w:val="uk-UA"/>
        </w:rPr>
        <w:t>, вартість послуг становить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73,479 тис. грн;</w:t>
      </w:r>
    </w:p>
    <w:p w:rsidR="002971FC" w:rsidRPr="0048732C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р</w:t>
      </w:r>
      <w:r w:rsidRPr="0048732C">
        <w:rPr>
          <w:rFonts w:ascii="Times New Roman" w:hAnsi="Times New Roman"/>
          <w:bCs/>
          <w:sz w:val="24"/>
          <w:szCs w:val="24"/>
          <w:lang w:val="uk-UA"/>
        </w:rPr>
        <w:t>озділ XIII. «Забезпечення діяльності з виробництва, транспортування, постачання теплової енергії»: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придбано 1 500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кв.м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. покрівельного матеріалу (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єврорубероїду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) (одержувач коштів КП «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Ромникомунтепло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» РМР)  на суму 143,54850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2 котли з газовим пальником (котли 3000 кВт, 630 кВт, 1850 кВт) на суму 1 058,46651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труб сталевих попередньо ізольованих спіненим поліуретаном (труби 219/315, 159/250, 133/225) на суму 119,29860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2 450,00 кг бітумної смоли (одержувач коштів КП «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Ромникомунтепло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» РМР)  на суму 122,3775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капітальний ремонт теплової мережі по вул. Калнишевського в м. Ромни Сумської області на суму 1 764,41357 тис. грн;</w:t>
      </w:r>
    </w:p>
    <w:p w:rsidR="002971FC" w:rsidRPr="0048732C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732C">
        <w:rPr>
          <w:rFonts w:ascii="Times New Roman" w:hAnsi="Times New Roman"/>
          <w:bCs/>
          <w:sz w:val="24"/>
          <w:szCs w:val="24"/>
          <w:lang w:val="uk-UA"/>
        </w:rPr>
        <w:t xml:space="preserve"> розділ ХІV. «Забезпечення функціонування підприємств, установ та організацій, що виробляють, виконують та/або надають житлово-комунальні послуги»: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погашено заборгованість ПП </w:t>
      </w:r>
      <w:r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Наш Дім</w:t>
      </w:r>
      <w:r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 на суму 31,07658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погашено заборгованість ПП </w:t>
      </w:r>
      <w:r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Житло-сервіс</w:t>
      </w:r>
      <w:r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 на суму 30,25520 тис. грн;</w:t>
      </w:r>
    </w:p>
    <w:p w:rsidR="002971FC" w:rsidRPr="0048732C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р</w:t>
      </w:r>
      <w:r w:rsidRPr="0048732C">
        <w:rPr>
          <w:rFonts w:ascii="Times New Roman" w:hAnsi="Times New Roman"/>
          <w:bCs/>
          <w:sz w:val="24"/>
          <w:szCs w:val="24"/>
          <w:lang w:val="uk-UA"/>
        </w:rPr>
        <w:t>озділ ХV. «Видатки, пов'язані з наданням підтримки внутрішньо переміщеним та/або евакуйованим особам у зв'язку із введенням воєнного стану»: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 3 житлових та 3 побутових кімнат гуртожитку в м. Ромни Сумської області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2-</w:t>
      </w:r>
      <w:r>
        <w:rPr>
          <w:rFonts w:ascii="Times New Roman" w:hAnsi="Times New Roman"/>
          <w:bCs/>
          <w:sz w:val="24"/>
          <w:szCs w:val="24"/>
          <w:lang w:val="uk-UA"/>
        </w:rPr>
        <w:t>му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провулк</w:t>
      </w:r>
      <w:r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Полтавської, 4 для облаштування місць тимчасового перебування внутрішньо переміщених (евакуйованих) осіб на суму 199,98494 тис. грн;</w:t>
      </w:r>
    </w:p>
    <w:p w:rsidR="002971FC" w:rsidRPr="005D667C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 2 житлових та 3 побутових кімнат гуртожитку в м. Ромни Сумської області, Сумська, 3Г для облаштування місць тимчасового перебування внутрішньо переміщених (евакуйованих) осіб на суму 199,500 тис. грн;</w:t>
      </w:r>
    </w:p>
    <w:p w:rsidR="002971FC" w:rsidRPr="0048732C" w:rsidRDefault="002971FC" w:rsidP="002971FC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48732C">
        <w:rPr>
          <w:rFonts w:ascii="Times New Roman" w:hAnsi="Times New Roman"/>
          <w:bCs/>
          <w:sz w:val="24"/>
          <w:szCs w:val="24"/>
          <w:lang w:val="uk-UA"/>
        </w:rPr>
        <w:t>озділ XVІІІ. «Інша діяльність у сфері житлово-комунального господарства»:</w:t>
      </w:r>
    </w:p>
    <w:p w:rsidR="002971FC" w:rsidRPr="000B1955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встановлен</w:t>
      </w:r>
      <w:r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обладнання для системи оповіщення хвилини мовчання за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>: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м. </w:t>
      </w:r>
      <w:r w:rsidRPr="000B1955">
        <w:rPr>
          <w:rFonts w:ascii="Times New Roman" w:hAnsi="Times New Roman"/>
          <w:bCs/>
          <w:sz w:val="24"/>
          <w:szCs w:val="24"/>
          <w:lang w:val="uk-UA"/>
        </w:rPr>
        <w:t>Ромни вул. Петра Калнишевського, 34, вартість послуги становить 41,7084 тис. грн.</w:t>
      </w:r>
    </w:p>
    <w:p w:rsidR="002971FC" w:rsidRPr="000B1955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B1955">
        <w:rPr>
          <w:rFonts w:ascii="Times New Roman" w:hAnsi="Times New Roman"/>
          <w:bCs/>
          <w:sz w:val="24"/>
          <w:szCs w:val="24"/>
          <w:lang w:val="uk-UA"/>
        </w:rPr>
        <w:t xml:space="preserve">Враховуючи те, що заходи Програми виконано, термін її дії завершився, а також те, що затверджено Програму реформування і розвитку житлово-комунального господарства Роменської міської територіальної громади на 2026-2028 роки, пропонуємо зняти з контролю рішення Роменської міської ради від </w:t>
      </w:r>
      <w:r w:rsidRPr="000B1955">
        <w:rPr>
          <w:rFonts w:ascii="Times New Roman" w:eastAsia="Times New Roman" w:hAnsi="Times New Roman" w:cs="Times New Roman"/>
          <w:sz w:val="24"/>
          <w:szCs w:val="24"/>
          <w:lang w:val="uk-UA"/>
        </w:rPr>
        <w:t>07.12.2022 «Про затвердження Програми реформування і розвитку житлово-комунального господарства Роменської міської територіальної громади на 2023-2025 роки»</w:t>
      </w:r>
      <w:r w:rsidRPr="000B195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2971FC" w:rsidRPr="00D20485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71FC" w:rsidRPr="00912BF6" w:rsidRDefault="002971FC" w:rsidP="00297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71FC" w:rsidRPr="00FB0DD1" w:rsidRDefault="002971FC" w:rsidP="002971FC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У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правління </w:t>
      </w:r>
    </w:p>
    <w:p w:rsidR="002971FC" w:rsidRPr="00FB0DD1" w:rsidRDefault="002971FC" w:rsidP="002971FC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2971FC" w:rsidRPr="00FB0DD1" w:rsidRDefault="002971FC" w:rsidP="002971FC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131A4E" w:rsidRPr="00FB0DD1" w:rsidRDefault="00131A4E" w:rsidP="00131A4E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</w:p>
    <w:p w:rsidR="00131A4E" w:rsidRPr="00FB0DD1" w:rsidRDefault="00131A4E" w:rsidP="00131A4E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31A4E" w:rsidRDefault="00131A4E" w:rsidP="00131A4E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545B99" w:rsidRPr="00131A4E" w:rsidRDefault="00131A4E" w:rsidP="00131A4E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2971FC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Наталія МОСКАЛЕНКО</w:t>
      </w:r>
    </w:p>
    <w:sectPr w:rsidR="00545B99" w:rsidRPr="00131A4E" w:rsidSect="007C0F56">
      <w:pgSz w:w="11906" w:h="16838"/>
      <w:pgMar w:top="709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23C" w:rsidRDefault="004B023C" w:rsidP="00824099">
      <w:pPr>
        <w:spacing w:after="0" w:line="240" w:lineRule="auto"/>
      </w:pPr>
      <w:r>
        <w:separator/>
      </w:r>
    </w:p>
  </w:endnote>
  <w:endnote w:type="continuationSeparator" w:id="0">
    <w:p w:rsidR="004B023C" w:rsidRDefault="004B023C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23C" w:rsidRDefault="004B023C" w:rsidP="00824099">
      <w:pPr>
        <w:spacing w:after="0" w:line="240" w:lineRule="auto"/>
      </w:pPr>
      <w:r>
        <w:separator/>
      </w:r>
    </w:p>
  </w:footnote>
  <w:footnote w:type="continuationSeparator" w:id="0">
    <w:p w:rsidR="004B023C" w:rsidRDefault="004B023C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DF1747"/>
    <w:multiLevelType w:val="hybridMultilevel"/>
    <w:tmpl w:val="8F1C9582"/>
    <w:lvl w:ilvl="0" w:tplc="B46E626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9D6A1A"/>
    <w:multiLevelType w:val="hybridMultilevel"/>
    <w:tmpl w:val="CC72CC62"/>
    <w:lvl w:ilvl="0" w:tplc="2EC8F3C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781811"/>
    <w:multiLevelType w:val="hybridMultilevel"/>
    <w:tmpl w:val="39C0F9B0"/>
    <w:lvl w:ilvl="0" w:tplc="188C38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06E4550"/>
    <w:multiLevelType w:val="hybridMultilevel"/>
    <w:tmpl w:val="F96C3BD4"/>
    <w:lvl w:ilvl="0" w:tplc="F364D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E070FF"/>
    <w:multiLevelType w:val="hybridMultilevel"/>
    <w:tmpl w:val="A14C53F0"/>
    <w:lvl w:ilvl="0" w:tplc="8FE0127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19F6"/>
    <w:rsid w:val="000945D6"/>
    <w:rsid w:val="00096F39"/>
    <w:rsid w:val="000A0396"/>
    <w:rsid w:val="000B05B0"/>
    <w:rsid w:val="000B1C73"/>
    <w:rsid w:val="000B1CEB"/>
    <w:rsid w:val="000B242A"/>
    <w:rsid w:val="000B6240"/>
    <w:rsid w:val="000B6A55"/>
    <w:rsid w:val="000B79EF"/>
    <w:rsid w:val="000C2AAE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364A"/>
    <w:rsid w:val="000E4CCD"/>
    <w:rsid w:val="000F6A58"/>
    <w:rsid w:val="000F777D"/>
    <w:rsid w:val="00101E8C"/>
    <w:rsid w:val="00102256"/>
    <w:rsid w:val="001032A2"/>
    <w:rsid w:val="00104EDD"/>
    <w:rsid w:val="001077AE"/>
    <w:rsid w:val="00113C7E"/>
    <w:rsid w:val="00113DA0"/>
    <w:rsid w:val="00120DAF"/>
    <w:rsid w:val="00122FC3"/>
    <w:rsid w:val="001234F2"/>
    <w:rsid w:val="00124E3C"/>
    <w:rsid w:val="00124EB8"/>
    <w:rsid w:val="0013030E"/>
    <w:rsid w:val="00130D00"/>
    <w:rsid w:val="00131A4E"/>
    <w:rsid w:val="00131A50"/>
    <w:rsid w:val="00132982"/>
    <w:rsid w:val="0013322C"/>
    <w:rsid w:val="00134E13"/>
    <w:rsid w:val="00141321"/>
    <w:rsid w:val="00144588"/>
    <w:rsid w:val="00144623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87A08"/>
    <w:rsid w:val="00191261"/>
    <w:rsid w:val="00191C87"/>
    <w:rsid w:val="001A1272"/>
    <w:rsid w:val="001A21F0"/>
    <w:rsid w:val="001A35D5"/>
    <w:rsid w:val="001A7AB6"/>
    <w:rsid w:val="001B320B"/>
    <w:rsid w:val="001B3B44"/>
    <w:rsid w:val="001B3E87"/>
    <w:rsid w:val="001C072D"/>
    <w:rsid w:val="001C2A54"/>
    <w:rsid w:val="001C385E"/>
    <w:rsid w:val="001C69FD"/>
    <w:rsid w:val="001C6B0F"/>
    <w:rsid w:val="001D5370"/>
    <w:rsid w:val="001E39E1"/>
    <w:rsid w:val="001F0C80"/>
    <w:rsid w:val="001F2116"/>
    <w:rsid w:val="00212E38"/>
    <w:rsid w:val="00214088"/>
    <w:rsid w:val="00216761"/>
    <w:rsid w:val="00220003"/>
    <w:rsid w:val="0022175D"/>
    <w:rsid w:val="00222FF8"/>
    <w:rsid w:val="00223541"/>
    <w:rsid w:val="00232DD5"/>
    <w:rsid w:val="00235AB6"/>
    <w:rsid w:val="00237421"/>
    <w:rsid w:val="0024122C"/>
    <w:rsid w:val="00242F82"/>
    <w:rsid w:val="002449E2"/>
    <w:rsid w:val="00244A8F"/>
    <w:rsid w:val="00245209"/>
    <w:rsid w:val="00246116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2798"/>
    <w:rsid w:val="0028300A"/>
    <w:rsid w:val="00283031"/>
    <w:rsid w:val="00284763"/>
    <w:rsid w:val="00284922"/>
    <w:rsid w:val="00285E35"/>
    <w:rsid w:val="00293010"/>
    <w:rsid w:val="00293F14"/>
    <w:rsid w:val="002971FC"/>
    <w:rsid w:val="00297305"/>
    <w:rsid w:val="002A0C06"/>
    <w:rsid w:val="002A1457"/>
    <w:rsid w:val="002A299E"/>
    <w:rsid w:val="002A379E"/>
    <w:rsid w:val="002A4DF2"/>
    <w:rsid w:val="002A784E"/>
    <w:rsid w:val="002B19CB"/>
    <w:rsid w:val="002B4C6F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15B7"/>
    <w:rsid w:val="002D6064"/>
    <w:rsid w:val="002D69FF"/>
    <w:rsid w:val="002E7BEC"/>
    <w:rsid w:val="002F101C"/>
    <w:rsid w:val="002F5251"/>
    <w:rsid w:val="002F5B01"/>
    <w:rsid w:val="002F79F6"/>
    <w:rsid w:val="00304FE3"/>
    <w:rsid w:val="003112F8"/>
    <w:rsid w:val="0031561F"/>
    <w:rsid w:val="0032353C"/>
    <w:rsid w:val="00323DD3"/>
    <w:rsid w:val="0032631D"/>
    <w:rsid w:val="00332D15"/>
    <w:rsid w:val="00340606"/>
    <w:rsid w:val="00341658"/>
    <w:rsid w:val="00343F41"/>
    <w:rsid w:val="00343F95"/>
    <w:rsid w:val="0034406F"/>
    <w:rsid w:val="003461F8"/>
    <w:rsid w:val="003478CF"/>
    <w:rsid w:val="0035150E"/>
    <w:rsid w:val="00353260"/>
    <w:rsid w:val="00353EB5"/>
    <w:rsid w:val="00356EFC"/>
    <w:rsid w:val="00360092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B4D5A"/>
    <w:rsid w:val="003B6ACD"/>
    <w:rsid w:val="003D03E0"/>
    <w:rsid w:val="003D3424"/>
    <w:rsid w:val="003E01AA"/>
    <w:rsid w:val="003E1754"/>
    <w:rsid w:val="003E1E9D"/>
    <w:rsid w:val="003E45D5"/>
    <w:rsid w:val="003E6911"/>
    <w:rsid w:val="003E7368"/>
    <w:rsid w:val="0040016E"/>
    <w:rsid w:val="00401A79"/>
    <w:rsid w:val="004130D1"/>
    <w:rsid w:val="004155CA"/>
    <w:rsid w:val="00415983"/>
    <w:rsid w:val="00416B9E"/>
    <w:rsid w:val="00416F64"/>
    <w:rsid w:val="00420EC7"/>
    <w:rsid w:val="0042174B"/>
    <w:rsid w:val="00423C46"/>
    <w:rsid w:val="00423C52"/>
    <w:rsid w:val="00431D3D"/>
    <w:rsid w:val="00437958"/>
    <w:rsid w:val="00440D1D"/>
    <w:rsid w:val="00441758"/>
    <w:rsid w:val="00442D24"/>
    <w:rsid w:val="00446063"/>
    <w:rsid w:val="004514F5"/>
    <w:rsid w:val="00456BC1"/>
    <w:rsid w:val="00456EEA"/>
    <w:rsid w:val="004579E4"/>
    <w:rsid w:val="004651A0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023C"/>
    <w:rsid w:val="004B2072"/>
    <w:rsid w:val="004C65D9"/>
    <w:rsid w:val="004C6EB8"/>
    <w:rsid w:val="004D6566"/>
    <w:rsid w:val="004D7E1A"/>
    <w:rsid w:val="004E1D74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4D2B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5B99"/>
    <w:rsid w:val="005471CC"/>
    <w:rsid w:val="00551934"/>
    <w:rsid w:val="00553321"/>
    <w:rsid w:val="00553D3E"/>
    <w:rsid w:val="00554FED"/>
    <w:rsid w:val="00556AF0"/>
    <w:rsid w:val="00562AAF"/>
    <w:rsid w:val="0056395E"/>
    <w:rsid w:val="00563E58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A4B9E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BEE"/>
    <w:rsid w:val="005D5FB0"/>
    <w:rsid w:val="005E3A70"/>
    <w:rsid w:val="005E71B0"/>
    <w:rsid w:val="005F05A8"/>
    <w:rsid w:val="005F0F8A"/>
    <w:rsid w:val="005F68F8"/>
    <w:rsid w:val="00601778"/>
    <w:rsid w:val="00603F12"/>
    <w:rsid w:val="00605424"/>
    <w:rsid w:val="00605BDE"/>
    <w:rsid w:val="0060683A"/>
    <w:rsid w:val="006074EF"/>
    <w:rsid w:val="006115EA"/>
    <w:rsid w:val="00611CFA"/>
    <w:rsid w:val="00613A18"/>
    <w:rsid w:val="00620113"/>
    <w:rsid w:val="00622E9C"/>
    <w:rsid w:val="0062301B"/>
    <w:rsid w:val="006239F3"/>
    <w:rsid w:val="00624C4D"/>
    <w:rsid w:val="00630A80"/>
    <w:rsid w:val="0063221B"/>
    <w:rsid w:val="006362F3"/>
    <w:rsid w:val="00636684"/>
    <w:rsid w:val="006403D3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3F9C"/>
    <w:rsid w:val="00675A5B"/>
    <w:rsid w:val="0068175C"/>
    <w:rsid w:val="00690387"/>
    <w:rsid w:val="00696C2F"/>
    <w:rsid w:val="00696C37"/>
    <w:rsid w:val="006B0076"/>
    <w:rsid w:val="006B10CA"/>
    <w:rsid w:val="006B15EB"/>
    <w:rsid w:val="006B1B03"/>
    <w:rsid w:val="006B277B"/>
    <w:rsid w:val="006B58DF"/>
    <w:rsid w:val="006C164D"/>
    <w:rsid w:val="006C61A5"/>
    <w:rsid w:val="006C72D0"/>
    <w:rsid w:val="006D1338"/>
    <w:rsid w:val="006D4969"/>
    <w:rsid w:val="006E10EC"/>
    <w:rsid w:val="006E29C7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5B6C"/>
    <w:rsid w:val="00705A2B"/>
    <w:rsid w:val="0070692C"/>
    <w:rsid w:val="007127FA"/>
    <w:rsid w:val="007132CA"/>
    <w:rsid w:val="00715997"/>
    <w:rsid w:val="00715CD5"/>
    <w:rsid w:val="00722E0D"/>
    <w:rsid w:val="00722F7F"/>
    <w:rsid w:val="00723400"/>
    <w:rsid w:val="007248C8"/>
    <w:rsid w:val="00731031"/>
    <w:rsid w:val="00733511"/>
    <w:rsid w:val="00734EE9"/>
    <w:rsid w:val="007403A5"/>
    <w:rsid w:val="00743373"/>
    <w:rsid w:val="007441DA"/>
    <w:rsid w:val="0074566F"/>
    <w:rsid w:val="0075153D"/>
    <w:rsid w:val="00752229"/>
    <w:rsid w:val="007575EC"/>
    <w:rsid w:val="00760FC5"/>
    <w:rsid w:val="00761202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97A25"/>
    <w:rsid w:val="00797B63"/>
    <w:rsid w:val="007A058A"/>
    <w:rsid w:val="007A42E9"/>
    <w:rsid w:val="007A7A65"/>
    <w:rsid w:val="007B5F6A"/>
    <w:rsid w:val="007B7339"/>
    <w:rsid w:val="007C0F56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26DE5"/>
    <w:rsid w:val="00831124"/>
    <w:rsid w:val="0083179D"/>
    <w:rsid w:val="00834E9C"/>
    <w:rsid w:val="00835E52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6DB"/>
    <w:rsid w:val="008B29AA"/>
    <w:rsid w:val="008B3324"/>
    <w:rsid w:val="008B5AF0"/>
    <w:rsid w:val="008B76F5"/>
    <w:rsid w:val="008C11AB"/>
    <w:rsid w:val="008C188F"/>
    <w:rsid w:val="008C4195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09E8"/>
    <w:rsid w:val="009617E4"/>
    <w:rsid w:val="00962028"/>
    <w:rsid w:val="00962AE4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A540A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4B6F"/>
    <w:rsid w:val="00A15B80"/>
    <w:rsid w:val="00A20393"/>
    <w:rsid w:val="00A22AB1"/>
    <w:rsid w:val="00A22F6E"/>
    <w:rsid w:val="00A2605D"/>
    <w:rsid w:val="00A34F74"/>
    <w:rsid w:val="00A3730E"/>
    <w:rsid w:val="00A37922"/>
    <w:rsid w:val="00A42FFD"/>
    <w:rsid w:val="00A44600"/>
    <w:rsid w:val="00A5075A"/>
    <w:rsid w:val="00A510A7"/>
    <w:rsid w:val="00A52B6E"/>
    <w:rsid w:val="00A558F9"/>
    <w:rsid w:val="00A6176D"/>
    <w:rsid w:val="00A62E21"/>
    <w:rsid w:val="00A65A42"/>
    <w:rsid w:val="00A7061D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43FE"/>
    <w:rsid w:val="00AA488A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2A17"/>
    <w:rsid w:val="00B15059"/>
    <w:rsid w:val="00B154D2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3FC0"/>
    <w:rsid w:val="00BA5921"/>
    <w:rsid w:val="00BB18F1"/>
    <w:rsid w:val="00BC2892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123E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4603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14C7"/>
    <w:rsid w:val="00C828D7"/>
    <w:rsid w:val="00C84704"/>
    <w:rsid w:val="00C8481B"/>
    <w:rsid w:val="00C85564"/>
    <w:rsid w:val="00C86E5A"/>
    <w:rsid w:val="00C97387"/>
    <w:rsid w:val="00CA4901"/>
    <w:rsid w:val="00CA5155"/>
    <w:rsid w:val="00CA53E9"/>
    <w:rsid w:val="00CA580C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D04583"/>
    <w:rsid w:val="00D06045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85FD1"/>
    <w:rsid w:val="00D900A6"/>
    <w:rsid w:val="00D90FE8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083C"/>
    <w:rsid w:val="00DE23DD"/>
    <w:rsid w:val="00DE333A"/>
    <w:rsid w:val="00DE710C"/>
    <w:rsid w:val="00DF1EFF"/>
    <w:rsid w:val="00E01B5D"/>
    <w:rsid w:val="00E01FEC"/>
    <w:rsid w:val="00E114F6"/>
    <w:rsid w:val="00E129F9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4EBD"/>
    <w:rsid w:val="00E85182"/>
    <w:rsid w:val="00E85D9A"/>
    <w:rsid w:val="00E90C03"/>
    <w:rsid w:val="00E90D03"/>
    <w:rsid w:val="00E92657"/>
    <w:rsid w:val="00E92CDD"/>
    <w:rsid w:val="00E94660"/>
    <w:rsid w:val="00E96981"/>
    <w:rsid w:val="00E9753E"/>
    <w:rsid w:val="00EA567B"/>
    <w:rsid w:val="00EA69C9"/>
    <w:rsid w:val="00EA7414"/>
    <w:rsid w:val="00EB342F"/>
    <w:rsid w:val="00EB3F35"/>
    <w:rsid w:val="00EB521A"/>
    <w:rsid w:val="00EB62D4"/>
    <w:rsid w:val="00EB79A8"/>
    <w:rsid w:val="00EC56B8"/>
    <w:rsid w:val="00EC7F09"/>
    <w:rsid w:val="00ED275F"/>
    <w:rsid w:val="00ED670E"/>
    <w:rsid w:val="00EE046F"/>
    <w:rsid w:val="00EE0700"/>
    <w:rsid w:val="00EE42A1"/>
    <w:rsid w:val="00EE47A0"/>
    <w:rsid w:val="00EE5345"/>
    <w:rsid w:val="00EE6A8A"/>
    <w:rsid w:val="00EF03B6"/>
    <w:rsid w:val="00EF337F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51E30"/>
    <w:rsid w:val="00F5248B"/>
    <w:rsid w:val="00F52E4F"/>
    <w:rsid w:val="00F53844"/>
    <w:rsid w:val="00F561AE"/>
    <w:rsid w:val="00F56C8B"/>
    <w:rsid w:val="00F64258"/>
    <w:rsid w:val="00F671A1"/>
    <w:rsid w:val="00F732F6"/>
    <w:rsid w:val="00F7379A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2369"/>
    <w:rsid w:val="00FB3B1F"/>
    <w:rsid w:val="00FB4866"/>
    <w:rsid w:val="00FC2B48"/>
    <w:rsid w:val="00FC4A34"/>
    <w:rsid w:val="00FC4C0F"/>
    <w:rsid w:val="00FC62CF"/>
    <w:rsid w:val="00FC6E4B"/>
    <w:rsid w:val="00FD1F31"/>
    <w:rsid w:val="00FD5E38"/>
    <w:rsid w:val="00FD6FF9"/>
    <w:rsid w:val="00FE0568"/>
    <w:rsid w:val="00FE1CE2"/>
    <w:rsid w:val="00FE25A9"/>
    <w:rsid w:val="00FE41DF"/>
    <w:rsid w:val="00FE5F04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8580"/>
  <w15:docId w15:val="{964FAC6C-1FA7-402F-8F1E-B26477B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56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7BD6-DF44-4C7B-9F9C-CB723133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11203</Words>
  <Characters>6387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217</cp:revision>
  <cp:lastPrinted>2025-10-17T08:32:00Z</cp:lastPrinted>
  <dcterms:created xsi:type="dcterms:W3CDTF">2025-09-17T06:06:00Z</dcterms:created>
  <dcterms:modified xsi:type="dcterms:W3CDTF">2026-06-08T05:37:00Z</dcterms:modified>
</cp:coreProperties>
</file>