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00" w:rsidRDefault="003E1600" w:rsidP="00A11D66">
      <w:pPr>
        <w:tabs>
          <w:tab w:val="left" w:pos="9498"/>
        </w:tabs>
        <w:spacing w:after="0" w:line="240" w:lineRule="auto"/>
        <w:ind w:right="140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3E1600" w:rsidRDefault="003E1600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p w:rsidR="00562AAF" w:rsidRDefault="00562AAF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p w:rsidR="00FE25A9" w:rsidRPr="00006E43" w:rsidRDefault="00FE25A9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1600" w:rsidRPr="00B761F6" w:rsidTr="00BA2372">
        <w:tc>
          <w:tcPr>
            <w:tcW w:w="3190" w:type="dxa"/>
            <w:hideMark/>
          </w:tcPr>
          <w:p w:rsidR="003E1600" w:rsidRPr="00B761F6" w:rsidRDefault="003E1600" w:rsidP="00BA2372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17.06.2026</w:t>
            </w:r>
          </w:p>
        </w:tc>
        <w:tc>
          <w:tcPr>
            <w:tcW w:w="3190" w:type="dxa"/>
            <w:hideMark/>
          </w:tcPr>
          <w:p w:rsidR="003E1600" w:rsidRPr="00B761F6" w:rsidRDefault="003E1600" w:rsidP="00BA2372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3E1600" w:rsidRPr="00B761F6" w:rsidRDefault="003E1600" w:rsidP="00BA2372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3E1600" w:rsidRPr="00B761F6" w:rsidRDefault="003E1600" w:rsidP="003E1600">
      <w:pPr>
        <w:widowControl w:val="0"/>
        <w:spacing w:after="120"/>
        <w:ind w:right="4678"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2026-2028 роки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3E1600" w:rsidRPr="00B761F6" w:rsidRDefault="003E1600" w:rsidP="003E1600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B761F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26.11.2025 (далі – Програма):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3E1600" w:rsidRPr="00B761F6" w:rsidTr="00BA2372">
        <w:tc>
          <w:tcPr>
            <w:tcW w:w="576" w:type="dxa"/>
            <w:vAlign w:val="center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3E1600" w:rsidRPr="00B761F6" w:rsidTr="00BA2372"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3E1600" w:rsidRPr="00B761F6" w:rsidTr="00BA2372"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3E1600" w:rsidRPr="00B761F6" w:rsidTr="00BA2372"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3E1600" w:rsidRPr="00B761F6" w:rsidTr="00BA2372"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3E1600" w:rsidRPr="00B761F6" w:rsidTr="00A11D66">
        <w:trPr>
          <w:trHeight w:val="318"/>
        </w:trPr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2026-2028 роки</w:t>
            </w:r>
          </w:p>
        </w:tc>
      </w:tr>
      <w:tr w:rsidR="003E1600" w:rsidRPr="00B761F6" w:rsidTr="00BA2372"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3E1600" w:rsidRPr="00B761F6" w:rsidTr="00BA2372">
        <w:trPr>
          <w:trHeight w:val="677"/>
        </w:trPr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B761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214 337,80879 </w:t>
            </w: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3E1600" w:rsidRPr="00B761F6" w:rsidTr="00A11D66">
        <w:trPr>
          <w:trHeight w:val="733"/>
        </w:trPr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214 337,80879 </w:t>
            </w: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3E1600" w:rsidRPr="00B761F6" w:rsidTr="00A11D66">
        <w:trPr>
          <w:trHeight w:val="404"/>
        </w:trPr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B761F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3E1600" w:rsidRPr="00B761F6" w:rsidRDefault="003E1600" w:rsidP="003E1600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2059"/>
      </w:tblGrid>
      <w:tr w:rsidR="003E1600" w:rsidRPr="00B761F6" w:rsidTr="00BA2372">
        <w:trPr>
          <w:trHeight w:val="320"/>
        </w:trPr>
        <w:tc>
          <w:tcPr>
            <w:tcW w:w="2795" w:type="dxa"/>
            <w:vMerge w:val="restart"/>
            <w:vAlign w:val="center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785" w:type="dxa"/>
            <w:gridSpan w:val="3"/>
            <w:vAlign w:val="center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2059" w:type="dxa"/>
            <w:vMerge w:val="restart"/>
            <w:vAlign w:val="center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3E1600" w:rsidRPr="00B761F6" w:rsidTr="00BA2372">
        <w:trPr>
          <w:trHeight w:val="304"/>
        </w:trPr>
        <w:tc>
          <w:tcPr>
            <w:tcW w:w="2795" w:type="dxa"/>
            <w:vMerge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center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640" w:type="dxa"/>
            <w:vAlign w:val="center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59" w:type="dxa"/>
            <w:vAlign w:val="center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2059" w:type="dxa"/>
            <w:vMerge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304"/>
        </w:trPr>
        <w:tc>
          <w:tcPr>
            <w:tcW w:w="2795" w:type="dxa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86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69 761,63479</w:t>
            </w:r>
          </w:p>
        </w:tc>
        <w:tc>
          <w:tcPr>
            <w:tcW w:w="1640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2059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214 337,80879</w:t>
            </w:r>
          </w:p>
        </w:tc>
      </w:tr>
      <w:tr w:rsidR="003E1600" w:rsidRPr="00B761F6" w:rsidTr="00BA2372">
        <w:trPr>
          <w:trHeight w:val="304"/>
        </w:trPr>
        <w:tc>
          <w:tcPr>
            <w:tcW w:w="2795" w:type="dxa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86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69 761,63479</w:t>
            </w:r>
          </w:p>
        </w:tc>
        <w:tc>
          <w:tcPr>
            <w:tcW w:w="1640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2059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214 337,80879</w:t>
            </w:r>
          </w:p>
        </w:tc>
      </w:tr>
      <w:tr w:rsidR="003E1600" w:rsidRPr="00B761F6" w:rsidTr="00BA2372">
        <w:trPr>
          <w:trHeight w:val="267"/>
        </w:trPr>
        <w:tc>
          <w:tcPr>
            <w:tcW w:w="2795" w:type="dxa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86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059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1.1 «Придбання покрівельного матеріалу»  пункту 1 «Придбання предметів і матеріалів, необхідних для експлуатації та технічного обслуговування житлового фонду»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І «Експлуатація та технічне обслуговування житлового фонду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25"/>
        <w:gridCol w:w="1026"/>
        <w:gridCol w:w="709"/>
        <w:gridCol w:w="709"/>
        <w:gridCol w:w="992"/>
        <w:gridCol w:w="709"/>
        <w:gridCol w:w="1134"/>
        <w:gridCol w:w="1358"/>
      </w:tblGrid>
      <w:tr w:rsidR="003E1600" w:rsidRPr="00B761F6" w:rsidTr="00BA2372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 Придбання предметів і матеріалів, необхідних для експлуатації та технічного обслуговування житлового фонду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1.1. Придбання покрівельного матеріалу </w:t>
            </w:r>
          </w:p>
        </w:tc>
        <w:tc>
          <w:tcPr>
            <w:tcW w:w="1026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297,50000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356,24800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375,12800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житлового фонду</w:t>
            </w: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6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4) викласти підпункт 2.1 «Поточний ремонт туалетів житлових будинків»  пункту 2 «Поточний ремонт житлових будівель і споруд» розділу І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11D66" w:rsidRPr="00B761F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25"/>
        <w:gridCol w:w="1026"/>
        <w:gridCol w:w="709"/>
        <w:gridCol w:w="709"/>
        <w:gridCol w:w="992"/>
        <w:gridCol w:w="709"/>
        <w:gridCol w:w="1134"/>
        <w:gridCol w:w="1358"/>
      </w:tblGrid>
      <w:tr w:rsidR="003E1600" w:rsidRPr="00B761F6" w:rsidTr="00BA2372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6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166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2. Поточний ремонт житлових будівель і споруд</w:t>
            </w:r>
          </w:p>
        </w:tc>
        <w:tc>
          <w:tcPr>
            <w:tcW w:w="1525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2.1. Поточний ремонт туалетів житлових будинків</w:t>
            </w:r>
          </w:p>
        </w:tc>
        <w:tc>
          <w:tcPr>
            <w:tcW w:w="1026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52,95000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55,75600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житлового фонду</w:t>
            </w: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6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5) викласти підпункт 1.1  «Придбання покрівельного матеріалу»  пункту 1 «Придбання предметів і матеріалів, необхідних для забезпечення діяльності з виробництва, транспортування, постачання теплової енергії» розділу ІІ «Забезпечення діяльності з виробництва, транспортування, постачання теплової енергії»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80"/>
        <w:gridCol w:w="964"/>
        <w:gridCol w:w="709"/>
        <w:gridCol w:w="709"/>
        <w:gridCol w:w="992"/>
        <w:gridCol w:w="878"/>
        <w:gridCol w:w="965"/>
        <w:gridCol w:w="1358"/>
      </w:tblGrid>
      <w:tr w:rsidR="003E1600" w:rsidRPr="00B761F6" w:rsidTr="00BA2372">
        <w:trPr>
          <w:trHeight w:val="123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64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A11D66">
        <w:trPr>
          <w:trHeight w:val="367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 Придбання предметів і матеріалів, необхідних для забезпечення діяльності з виробництва, транспортування, постачання теплової енергії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1.1. Придбання покрівельного матеріалу</w:t>
            </w:r>
          </w:p>
        </w:tc>
        <w:tc>
          <w:tcPr>
            <w:tcW w:w="964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245,68800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258,70900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технічно-експлуатаційних характеристик теплових  мереж та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котелень</w:t>
            </w:r>
            <w:proofErr w:type="spellEnd"/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64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11D6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1.4 «Капітальний ремонт пасажирського ліфта в житловому будинку за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, 248: під’їзд 4 в м. Ромни Сумської області»  пункту 1 «Підвищення експлуатаційних властивостей ліфтового господарства і утримання його у належному стані»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«Забезпечення надійної та безперебійної експлуатації ліфтів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</w:t>
      </w: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A1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lastRenderedPageBreak/>
        <w:t>комунального господарства Роменської міської територіальної громади на 2026-2028 роки» у такій редакції: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878"/>
        <w:gridCol w:w="1614"/>
      </w:tblGrid>
      <w:tr w:rsidR="003E1600" w:rsidRPr="00B761F6" w:rsidTr="00BA2372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A11D66">
        <w:trPr>
          <w:trHeight w:val="4104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 Підвищення експлуатаційних властивостей ліфтового господарства і утримання його у належному стані</w:t>
            </w:r>
          </w:p>
        </w:tc>
        <w:tc>
          <w:tcPr>
            <w:tcW w:w="1701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1.4. Капітальний ремонт пасажирського ліфта в житловому будинку за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Героїв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Роменщини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, 248: під’їзд 4 в м. Ромни Сумської області</w:t>
            </w:r>
          </w:p>
        </w:tc>
        <w:tc>
          <w:tcPr>
            <w:tcW w:w="850" w:type="dxa"/>
            <w:vAlign w:val="center"/>
          </w:tcPr>
          <w:p w:rsidR="003E1600" w:rsidRPr="009E1B52" w:rsidRDefault="00FB68E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E1600" w:rsidRPr="009E1B52">
              <w:rPr>
                <w:rFonts w:ascii="Times New Roman" w:hAnsi="Times New Roman"/>
                <w:sz w:val="24"/>
                <w:szCs w:val="24"/>
                <w:lang w:val="uk-UA"/>
              </w:rPr>
              <w:t>14,38742</w:t>
            </w:r>
          </w:p>
        </w:tc>
        <w:tc>
          <w:tcPr>
            <w:tcW w:w="709" w:type="dxa"/>
            <w:vAlign w:val="center"/>
          </w:tcPr>
          <w:p w:rsidR="003E1600" w:rsidRPr="009E1B52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надійності та безпечної експлуатації ліфтового господарства</w:t>
            </w: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3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1.2.  «Вивезення стихійних сміттєзвалищ» пункту 1 «Забезпечення чистоти, порядку утримання і прибирання вуличних територій, парків, скверів, кладовищ, місць відпочинку»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11D66" w:rsidRPr="00B761F6" w:rsidRDefault="00A11D66" w:rsidP="00A1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3E1600" w:rsidRPr="00B761F6" w:rsidTr="00BA2372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112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чистоти, порядку утримання і прибирання вуличних територій,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1.2.  Вивезення стихійних сміттєзвалищ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99,70000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99,80000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чистоти території громади</w:t>
            </w:r>
          </w:p>
        </w:tc>
      </w:tr>
      <w:tr w:rsidR="003E1600" w:rsidRPr="00B761F6" w:rsidTr="00BA2372">
        <w:trPr>
          <w:trHeight w:val="418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3E1600" w:rsidRPr="00B761F6" w:rsidTr="00BA2372">
        <w:trPr>
          <w:trHeight w:val="27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112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парків, скверів, кладовищ, місць відпочинку</w:t>
            </w:r>
          </w:p>
        </w:tc>
        <w:tc>
          <w:tcPr>
            <w:tcW w:w="1701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підпункти 3.3 «Знесення аварійних дерев та обпиловка гілок дерев» та 3.4 «Послуги з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гербіцидної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порослі» пункту 3 «Збереження та  утримання на належному рівні зеленої зони населеного пункту та поліпшення його екологічних умов»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673"/>
        <w:gridCol w:w="850"/>
        <w:gridCol w:w="709"/>
        <w:gridCol w:w="709"/>
        <w:gridCol w:w="992"/>
        <w:gridCol w:w="709"/>
        <w:gridCol w:w="1020"/>
        <w:gridCol w:w="1472"/>
      </w:tblGrid>
      <w:tr w:rsidR="003E1600" w:rsidRPr="00B761F6" w:rsidTr="00BA2372">
        <w:trPr>
          <w:trHeight w:val="123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157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3.3. Знесення аварійних дерев та обпиловка гілок дерев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1201,00000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2118,00000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2230,25400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зовнішнього вигляду зелених зон населених пунктів громади</w:t>
            </w:r>
          </w:p>
        </w:tc>
      </w:tr>
      <w:tr w:rsidR="003E1600" w:rsidRPr="00B761F6" w:rsidTr="00BA2372">
        <w:trPr>
          <w:trHeight w:val="1942"/>
          <w:jc w:val="center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3.4. Послуги з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гербіцидної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обробки дерев та порослі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49,00000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9) викласти підпункти 4.4 «Поточний ремонт пам’ятників (ліквідація символів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>-тоталітарного режиму)», 4.</w:t>
      </w:r>
      <w:r w:rsidRPr="00B761F6">
        <w:rPr>
          <w:rFonts w:ascii="Times New Roman" w:hAnsi="Times New Roman"/>
          <w:sz w:val="24"/>
          <w:szCs w:val="24"/>
        </w:rPr>
        <w:t>5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«Поточний ремонт мостів», 4.10 «Поточний ремонт лежачих поліцейських», 4.11 «Поточний ремонт в’їзних стел», 4.12 «Послуги зі встановлення дитячих майданчиків» та 4.14. «Послуги зі встановлення лавок та урн» пункту 4 «Проведення поточного ремонту та утримання в належному стані об’єктів благоустрою та  їх частин»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559"/>
        <w:gridCol w:w="709"/>
        <w:gridCol w:w="850"/>
        <w:gridCol w:w="709"/>
        <w:gridCol w:w="992"/>
        <w:gridCol w:w="709"/>
        <w:gridCol w:w="994"/>
        <w:gridCol w:w="1574"/>
      </w:tblGrid>
      <w:tr w:rsidR="003E1600" w:rsidRPr="00B761F6" w:rsidTr="00BA2372">
        <w:trPr>
          <w:trHeight w:val="1235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529"/>
          <w:jc w:val="center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A11D66">
        <w:trPr>
          <w:trHeight w:val="2587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 Поточний ремонт пам’ятників (ліквідація символів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комуністично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-тоталітарного режиму)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741,30000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780,58900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B761F6">
              <w:rPr>
                <w:rFonts w:ascii="Times New Roman" w:hAnsi="Times New Roman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3E1600" w:rsidRPr="00B761F6" w:rsidTr="00BA2372">
        <w:trPr>
          <w:trHeight w:val="914"/>
          <w:jc w:val="center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4.5. Поточний ремонт мостів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151,86697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116,49000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122,66400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3E1600" w:rsidRPr="00B761F6" w:rsidTr="00A11D66">
        <w:trPr>
          <w:trHeight w:val="1559"/>
          <w:jc w:val="center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4.10.  Поточний ремонт лежачих поліцейських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211,80000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223,02500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3E1600" w:rsidRPr="00B761F6" w:rsidTr="00A11D66">
        <w:trPr>
          <w:trHeight w:val="1153"/>
          <w:jc w:val="center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4.11. Поточний ремонт в’їзних стел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116,49000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122,66400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3E1600" w:rsidRPr="00B761F6" w:rsidTr="00A11D66">
        <w:trPr>
          <w:trHeight w:val="1594"/>
          <w:jc w:val="center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4.12. Послуги зі встановлення дитячих майданчиків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98,00000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3E1600" w:rsidRPr="00B761F6" w:rsidTr="00A11D66">
        <w:trPr>
          <w:trHeight w:val="1189"/>
          <w:jc w:val="center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4.14. Послуги зі встановлення лавок та урн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169,44000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178,42100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10) доповнити пункт 4 «Проведення поточного ремонту та утримання в належному стані об’єктів благоустрою та  їх частин» розділу V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підпунктами 4.17 та 4.18: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Pr="00B761F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584"/>
      </w:tblGrid>
      <w:tr w:rsidR="003E1600" w:rsidRPr="00B761F6" w:rsidTr="00BA2372">
        <w:trPr>
          <w:trHeight w:val="698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3E1600" w:rsidRPr="00B761F6" w:rsidTr="00BA2372">
        <w:trPr>
          <w:trHeight w:val="284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</w:tr>
      <w:tr w:rsidR="003E1600" w:rsidRPr="00B761F6" w:rsidTr="00A11D66">
        <w:trPr>
          <w:trHeight w:val="11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4.17. Послуги із виготовлення та встановлення водовідвідних воронок на мосту через річку Сула по вул. Покровський узвіз в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м.Ромни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Сумської області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40,35402</w:t>
            </w:r>
          </w:p>
        </w:tc>
      </w:tr>
      <w:tr w:rsidR="003E1600" w:rsidRPr="00B761F6" w:rsidTr="00A11D66">
        <w:trPr>
          <w:trHeight w:val="7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4.18. Послуги із укладання тротуарної плитки по вул. Соборна в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м.Ромни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Сумської області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78,64500</w:t>
            </w:r>
          </w:p>
        </w:tc>
      </w:tr>
    </w:tbl>
    <w:p w:rsidR="003E1600" w:rsidRDefault="003E1600" w:rsidP="003E160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Pr="00B761F6" w:rsidRDefault="00A11D66" w:rsidP="003E160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11) викласти підпункти 5.7 «Поточний ремонт тротуарів в м. Ромни Сумської області», 5.8 «Технічний нагляд за виконанням будівельно-монтажних робіт по об’єкту: «Поточний ремонт тротуарів в м. Ромни Сумської області»», 5.11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громади», 5.12 «Технічний нагляд за виконанням будівельно-монтажних робіт по об’єкту: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громади»», 5.13 «Поточний ремонт дорожнього покриття мосту через річку Сула по вул. Покровський узвіз в м. Ромни Сумської області» та 5.14 «Технічний нагляд за виконанням будівельно-монтажних робіт по об’єкту: «Поточний ремонт дорожнього покриття мосту через річку Сула по вул. Покровський узвіз в м. Ромни Сумської області» пункту 5 «Забезпечення належного стану доріг та тротуарів громади для безпечного руху транспорту та пішоходів»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3E1600" w:rsidRPr="00B761F6" w:rsidTr="00BA2372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517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36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 Забезпечення належного стану доріг та тротуарів громади для безпечного руху транспорту та пішоходів</w:t>
            </w:r>
          </w:p>
        </w:tc>
        <w:tc>
          <w:tcPr>
            <w:tcW w:w="1701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5.7. Поточний ремонт тротуарів в м. Ромни Сумської області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2 000,00000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3706,500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3902,945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 w:right="-5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дорожньо-транспортної мережі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5.8. Технічний нагляд за виконанням будівельно-монтажних 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30,00000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55,598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58,544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6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E1600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робіт по об’єкту: «Поточний ремонт тротуарів в м. Ромни Сумської області»</w:t>
            </w:r>
          </w:p>
          <w:p w:rsidR="00A11D66" w:rsidRPr="00B761F6" w:rsidRDefault="00A11D66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4719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1600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5.11. 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</w:t>
            </w:r>
          </w:p>
          <w:p w:rsidR="00A11D66" w:rsidRPr="00B761F6" w:rsidRDefault="00A11D66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16 881,00000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4988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1600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5.12.  Технічний нагляд за виконанням будівельно-монтажних робіт по об’єкту: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 ї громади»</w:t>
            </w:r>
          </w:p>
          <w:p w:rsidR="00A11D66" w:rsidRPr="00B761F6" w:rsidRDefault="00A11D66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142,50000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6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3E1600" w:rsidRPr="00B761F6" w:rsidTr="00BA2372">
        <w:trPr>
          <w:trHeight w:val="276"/>
          <w:jc w:val="center"/>
        </w:trPr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843"/>
          <w:jc w:val="center"/>
        </w:trPr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5.13. Поточний ремонт дорожнього покриття мосту через річку Сула по вул. Покровський узвіз в м. Ромни Сумської області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1557,08578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843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5.14. Технічний нагляд за виконанням будівельно-монтажних робіт по об’єкту: «Поточний ремонт дорожнього покриття мосту через річку Сула по вул. Покровський узвіз в м. Ромни Сумської області»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17,26081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підпункти 6.1 «Поточний ремонт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 та 6.2 «Технічний нагляд за виконанням будівельно-монтажних робіт по об’єкту: «Поточний ремонт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області»» пункту 6 «Забезпечення належного рівня благоустрою біля житлового фонду міста» розділу V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Pr="00B761F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Pr="00B761F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445"/>
      </w:tblGrid>
      <w:tr w:rsidR="003E1600" w:rsidRPr="00B761F6" w:rsidTr="00BA2372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157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37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Забезпечення належного рівня благоустрою біля житлового фонду </w:t>
            </w:r>
          </w:p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міста</w:t>
            </w:r>
          </w:p>
        </w:tc>
        <w:tc>
          <w:tcPr>
            <w:tcW w:w="1701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6.1. Поточний ремонт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внутрішньоквартальних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проїздів в м. Ромни Сумської області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5 000,50000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8 472,000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8 921,016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стану внутрішньо- квартальних проїзних доріг</w:t>
            </w:r>
          </w:p>
        </w:tc>
      </w:tr>
      <w:tr w:rsidR="003E1600" w:rsidRPr="00B761F6" w:rsidTr="00BA2372">
        <w:trPr>
          <w:trHeight w:val="1889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E1600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6.2. Технічний нагляд за виконанням будівельно-монтажних робіт по об’єкту: «Поточний ремонт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внутрішньоквартальних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проїздів в м. Ромни Сумської області»</w:t>
            </w:r>
          </w:p>
          <w:p w:rsidR="00A11D66" w:rsidRPr="00B761F6" w:rsidRDefault="00A11D66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78,00000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99,000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99,000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підпункти 7.2 «Придбання садово-паркових лавок», 7.3 «Придбання вуличних вазонів», 7.4 «Придбання мінеральних добрив та засобів захисту рослин» та 7.15 «Придбання дитячих майданчиків» пункту 7 «Придбання предметів, матеріалів, обладнання та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інвентарю,необхідних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для забезпечення благоустрою громади»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11D66" w:rsidRPr="00B761F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887"/>
        <w:gridCol w:w="850"/>
        <w:gridCol w:w="709"/>
        <w:gridCol w:w="709"/>
        <w:gridCol w:w="992"/>
        <w:gridCol w:w="709"/>
        <w:gridCol w:w="1020"/>
        <w:gridCol w:w="1472"/>
      </w:tblGrid>
      <w:tr w:rsidR="003E1600" w:rsidRPr="00B761F6" w:rsidTr="00BA2372">
        <w:trPr>
          <w:trHeight w:val="1235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ind w:left="-123" w:right="-108" w:firstLine="12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851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 w:line="271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 Придбання предметів, матеріалів, обладнання та інвентарю, необхідних для забезпечення благоустрою громади</w:t>
            </w:r>
          </w:p>
        </w:tc>
        <w:tc>
          <w:tcPr>
            <w:tcW w:w="1887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7.2. Придбання садово-паркових лавок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364,29600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383,60400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ind w:left="-8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 w:right="-5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благоустрою громади</w:t>
            </w:r>
          </w:p>
        </w:tc>
      </w:tr>
      <w:tr w:rsidR="003E1600" w:rsidRPr="00B761F6" w:rsidTr="00BA2372">
        <w:trPr>
          <w:trHeight w:val="667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7.3. Придбання вуличних вазонів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52,95000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57,98700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7.4. Придбання мінеральних добрив та засобів захисту рослин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6,60000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65,65800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69,13800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7.15. Придбання дитячих майданчиків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660,00000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700,00000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14) викласти підпункт 8.3 «Послуги з вилову безпритульних тварин з подальшою  стерилізацією, післяопераційною перетримкою, вакцинацією та поверненням на попереднє місце перебування» пункту 8 «Забезпечення сприятливих умов для співіснування людей та тварин»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809"/>
        <w:gridCol w:w="850"/>
        <w:gridCol w:w="709"/>
        <w:gridCol w:w="709"/>
        <w:gridCol w:w="992"/>
        <w:gridCol w:w="709"/>
        <w:gridCol w:w="1134"/>
        <w:gridCol w:w="1358"/>
      </w:tblGrid>
      <w:tr w:rsidR="003E1600" w:rsidRPr="00B761F6" w:rsidTr="00BA2372">
        <w:trPr>
          <w:trHeight w:val="1235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8. Забезпечення сприятливих умов для співіснування людей та тварин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8.3. Послуги з вилову безпритульних тварин з подальшою  стерилізацією, післяопераційною перетримкою, вакцинацією та поверненням на попереднє місце перебування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573,00000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Зменшення чисельності безпритульних тварин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1</w:t>
      </w:r>
      <w:r w:rsidR="00FB68E0">
        <w:rPr>
          <w:rFonts w:ascii="Times New Roman" w:hAnsi="Times New Roman"/>
          <w:sz w:val="24"/>
          <w:szCs w:val="24"/>
          <w:lang w:val="uk-UA"/>
        </w:rPr>
        <w:t>5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)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доповнення до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такого змісту:</w:t>
      </w:r>
    </w:p>
    <w:p w:rsidR="00A11D66" w:rsidRPr="00B761F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2"/>
        <w:gridCol w:w="709"/>
        <w:gridCol w:w="710"/>
        <w:gridCol w:w="709"/>
        <w:gridCol w:w="1133"/>
        <w:gridCol w:w="880"/>
        <w:gridCol w:w="679"/>
        <w:gridCol w:w="1418"/>
      </w:tblGrid>
      <w:tr w:rsidR="003E1600" w:rsidRPr="00B761F6" w:rsidTr="00BA237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5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58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jc w:val="center"/>
              <w:rPr>
                <w:lang w:val="uk-UA" w:eastAsia="ru-RU"/>
              </w:rPr>
            </w:pPr>
            <w:r w:rsidRPr="00B761F6">
              <w:rPr>
                <w:lang w:val="uk-UA" w:eastAsia="ru-RU"/>
              </w:rPr>
              <w:t>ХVІI. Видатки, пов'язані з наданням підтримки внутрішньо переміщеним та/або евакуйованим особам у зв'язку із введенням воєнного стану</w:t>
            </w:r>
          </w:p>
        </w:tc>
      </w:tr>
      <w:tr w:rsidR="003E1600" w:rsidRPr="00B761F6" w:rsidTr="00BA2372">
        <w:trPr>
          <w:trHeight w:val="11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Створення належних та гідних житлово-побутових умов для тимчасового проживання внутрішньо переміщених </w:t>
            </w:r>
            <w:r w:rsidR="00FB68E0"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1.1. Придбання побутової техніки для облаштування місць тимчасового перебування внутрішньо переміщених (евакуйованих) </w:t>
            </w:r>
            <w:r w:rsidR="00FB68E0"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270,00000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lang w:val="uk-UA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2026рік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тимчасового проживання внутрішньо переміщених осіб та забезпечення базового комфорту</w:t>
            </w:r>
          </w:p>
          <w:p w:rsidR="003E1600" w:rsidRPr="00B761F6" w:rsidRDefault="003E1600" w:rsidP="00BA2372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55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 Поточний ремонт системи  водовідведення з покрівлі нежитлового приміщення за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Берегова, 129, с.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Пустовійтівка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Роменський район, Сумська область для облаштування місць тимчасового перебування внутрішньо переміщених (евакуйованих) осіб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199,00000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55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1.3. Поточний ремонт вимощення нежитлового приміщення за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Берегова, 129, </w:t>
            </w: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с.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Пустовійтівка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Роменський район, Сумська область для облаштування місць тимчасового перебування внутрішньо переміщених (евакуйованих) осіб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199,00000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B68E0" w:rsidRDefault="00FB68E0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Розробник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: </w:t>
      </w:r>
      <w:r w:rsidR="00C814C7">
        <w:rPr>
          <w:rFonts w:ascii="Times New Roman" w:hAnsi="Times New Roman"/>
          <w:color w:val="000000"/>
          <w:sz w:val="24"/>
          <w:szCs w:val="24"/>
          <w:lang w:val="uk-UA" w:eastAsia="zh-CN"/>
        </w:rPr>
        <w:t>Олена ГРЕБЕНЮК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, </w:t>
      </w:r>
      <w:r w:rsidR="00BC2892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начальник управління житлово-комунального господарства Роменської міської ради         </w:t>
      </w: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EE42A1" w:rsidRPr="00611CFA" w:rsidRDefault="00D06045" w:rsidP="00611CFA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Пропозиції та зауваження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приймаються за телефоном 5-43-02 або на електронну адресу zhk</w:t>
      </w:r>
      <w:hyperlink r:id="rId8" w:history="1">
        <w:r w:rsidRPr="00106B6D">
          <w:rPr>
            <w:rFonts w:ascii="Times New Roman" w:hAnsi="Times New Roman"/>
            <w:color w:val="000000"/>
            <w:sz w:val="24"/>
            <w:szCs w:val="24"/>
            <w:lang w:val="uk-UA"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.ua</w:t>
      </w:r>
    </w:p>
    <w:p w:rsidR="00EE42A1" w:rsidRDefault="00EE42A1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D66" w:rsidRPr="00B761F6" w:rsidRDefault="00A11D66" w:rsidP="00A11D66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A11D66" w:rsidRPr="00B761F6" w:rsidRDefault="00A11D66" w:rsidP="00A11D66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B761F6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A11D66" w:rsidRPr="00B761F6" w:rsidRDefault="00A11D66" w:rsidP="00A11D66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B761F6">
        <w:rPr>
          <w:rFonts w:ascii="Times New Roman" w:hAnsi="Times New Roman"/>
          <w:b/>
          <w:bCs/>
          <w:sz w:val="24"/>
          <w:szCs w:val="24"/>
        </w:rPr>
        <w:t>-202</w:t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B761F6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A11D66" w:rsidRPr="00B761F6" w:rsidRDefault="00A11D66" w:rsidP="00A11D66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рішення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м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26.11.2025</w:t>
      </w:r>
    </w:p>
    <w:p w:rsidR="00A11D66" w:rsidRPr="00B761F6" w:rsidRDefault="00A11D66" w:rsidP="00A11D66">
      <w:pPr>
        <w:tabs>
          <w:tab w:val="left" w:pos="3969"/>
        </w:tabs>
        <w:spacing w:after="23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B761F6">
        <w:rPr>
          <w:rFonts w:ascii="Times New Roman" w:hAnsi="Times New Roman"/>
          <w:sz w:val="24"/>
          <w:szCs w:val="24"/>
        </w:rPr>
        <w:t> 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2026-2028 роки (далі – Програма).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Рішення передбачає зміни до Програми щодо заходів та обсягів фінансування: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Зміна Паспорту Програми в частині загального обсягу фінансових ресурсів, необхідних для її реалізації, на 6 057,28000 тис. грн (зменшення з 220 395,08879 тис. грн до 214 337,80879 тис. грн). 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І «Експлуатація та технічне обслуговування житлового фонду</w:t>
      </w:r>
      <w:r w:rsidRPr="00B761F6">
        <w:rPr>
          <w:rFonts w:ascii="Times New Roman" w:hAnsi="Times New Roman"/>
          <w:sz w:val="24"/>
          <w:szCs w:val="24"/>
          <w:lang w:val="uk-UA"/>
        </w:rPr>
        <w:t>»: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38,90000 тис. грн (з 336,40000 тис. грн до 297,50000 тис. грн) за заходом 1.1. «Придбання покрівельного матеріалу»; 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50,00000 тис. грн, тобто на всю суму, за заходом 2.1. «Поточний ремонт туалетів житлових будинків»;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Розділ І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І «Забезпечення діяльності з виробництва, транспортування, постачання теплової енергії</w:t>
      </w:r>
      <w:r w:rsidRPr="00B761F6">
        <w:rPr>
          <w:rFonts w:ascii="Times New Roman" w:hAnsi="Times New Roman"/>
          <w:sz w:val="24"/>
          <w:szCs w:val="24"/>
          <w:lang w:val="uk-UA"/>
        </w:rPr>
        <w:t>»: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232,00000 тис. грн, тобто на всю суму, за заходом 1.1. «Придбання покрівельного матеріалу»;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«Забезпечення надійної та безперебійної експлуатації ліфтів</w:t>
      </w:r>
      <w:r w:rsidRPr="00B761F6">
        <w:rPr>
          <w:rFonts w:ascii="Times New Roman" w:hAnsi="Times New Roman"/>
          <w:sz w:val="24"/>
          <w:szCs w:val="24"/>
          <w:lang w:val="uk-UA"/>
        </w:rPr>
        <w:t>»: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2 </w:t>
      </w:r>
      <w:r w:rsidR="00CA6019">
        <w:rPr>
          <w:rFonts w:ascii="Times New Roman" w:hAnsi="Times New Roman"/>
          <w:sz w:val="24"/>
          <w:szCs w:val="24"/>
          <w:lang w:val="uk-UA"/>
        </w:rPr>
        <w:t>5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85,61258 тис. грн (з 3 000,00000 тис. грн до </w:t>
      </w:r>
      <w:r w:rsidR="00CA6019">
        <w:rPr>
          <w:rFonts w:ascii="Times New Roman" w:hAnsi="Times New Roman"/>
          <w:sz w:val="24"/>
          <w:szCs w:val="24"/>
          <w:lang w:val="uk-UA"/>
        </w:rPr>
        <w:t>4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14,38742 тис. грн) за заходом 1.4. «Капітальний ремонт пасажирського ліфта в житловому будинку за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>, 248: під’їзд 4 в м. Ромни Сумської області»;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пунктів»: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99,60000 тис. грн, тобто на всю суму, за заходом 1.2. «Вивезення стихійних сміттєзвалищ»;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B761F6">
        <w:rPr>
          <w:rFonts w:ascii="Times New Roman" w:hAnsi="Times New Roman"/>
          <w:sz w:val="24"/>
          <w:szCs w:val="24"/>
          <w:lang w:val="uk-UA"/>
        </w:rPr>
        <w:t>меншення фінансування на 799,00000 тис. грн (з 2 000,00000 тис. грн. до 1 201,00000 тис. грн) за заходом 3.3. «Знесення аварійних дерев та обпиловка гілок дерев»;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50,00000 тис. грн (з 99,000 тис. грн до 49,00000 тис. грн) за заходом 3.4. «Послуги з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гербіцидної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650,00000 тис. грн., тобто на всю суму, за заходом 4.4. «Поточний ремонт пам’ятників (ліквідація символів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>-тоталітарного режиму)»;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збільшення фінансування на 41,86697 тис. грн (з 110,000 тис. грн до 151,86697 тис. грн) за заходом 4.5. «Поточний ремонт мостів»;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200,00000 тис. грн, тобто на всю суму, за заходом 4.10.  «Поточний ремонт лежачих поліцейських»;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110,00000 тис. грн., тобто на всю суму, за заходом 4.11. «Поточний ремонт в’їзних стел»;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</w:t>
      </w:r>
      <w:r w:rsidRPr="00B761F6">
        <w:rPr>
          <w:rFonts w:ascii="Times New Roman" w:hAnsi="Times New Roman"/>
          <w:sz w:val="24"/>
          <w:szCs w:val="24"/>
          <w:lang w:val="uk-UA"/>
        </w:rPr>
        <w:t>меншення фінансування на 96,00000 тис. грн., тобто на всю суму, за заходом 4.12. «Послуги зі встановлення дитячих майданчиків»;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160,00000 тис. грн., тобто на всю суму, за заходом 4.14. «Послуги зі встановлення лавок та урн»;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доповнення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пунктів»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підпунктом 4.17. «Послуги із виготовлення та встановлення водовідвідних воронок на мосту через річку Сула по вул. Покровський узвіз в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м.Ромни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Сумської області» з очікуваним обсягом фінансування 40,35402 тис. грн.;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доповнення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пунктів»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підпунктом 4.18. «Послуги із укладання тротуарної плитки по вул. Соборна в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м.Ромни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Сумської області» (автобусна зупинка «Відділ освіти» та дві пішохідних доріжки від проїзної частини до тротуару біля АТ КБ «ПриватБанк») з очікуваним обсягом фінансування 78,64500 тис. грн;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1 500,00000 тис. грн (з 3 500,00000 тис. грн до 2 000,00000 тис. грн) за заходом 5.7. «Поточний ремонт тротуарів в м. Ромни Сумської області»;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22,50000 тис. грн (з 52,50000 тис. грн до 30,00000 тис. грн) за заходом 5.8. «Технічний нагляд за виконанням будівельно-монтажних робіт по об’єкту: «Поточний ремонт тротуарів в м. Ромни Сумської області»»;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збільшення фінансування на 2 900,00000 тис. грн (з 13 981,00000 тис. грн до 16 881,00000 тис. грн) за заходом 5.11.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збільшення фінансування на 43,50000 тис. грн (з 99,00000 тис. грн до 142,50000 тис. грн) за заходом 5.12. «Технічний нагляд за виконанням будівельно-монтажних робіт по об’єкту: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громади»»;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64,91422 тис. грн (з 1 622,000 тис. грн до 1 557,08578 тис. грн) за заходом 5.13. «Поточний ремонт дорожнього покриття мосту через річку Сула по вул. Покровський узвіз в м. Ромни Сумської області»;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3,73919 тис. грн (з 21,00000 тис. грн до 17,26081 тис. грн) за заходом 5.14. «Технічний нагляд за виконанням будівельно-монтажних робіт по об’єкту: «Поточний ремонт дорожнього покриття мосту через річку Сула по вул. Покровський узвіз в м. Ромни Сумської області»»;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1 400,00000 тис. грн (з 6 400,50000 тис. грн до 5 000,500000 тис. грн) за заходом 6.1. «Поточний ремонт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21,00000 тис. грн (з 99,00000 тис. грн до 78,00000 тис. грн) за заходом 6.2. «Технічний нагляд за виконанням будівельно-монтажних робіт по об’єкту: «Поточний ремонт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344,00000 тис. грн, тобто на всю суму, за заходом 7.2. «Придбання садово-паркових лавок»;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50,00000 тис. грн, тобто на всю суму, за заходом 7.3. «Придбання вуличних вазонів»;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lastRenderedPageBreak/>
        <w:t>зменшення фінансування на 55,40000 тис. грн (з 62,00000 тис. грн до 6,60000 тис. грн) за заходом 7.4. «Придбання мінеральних добрив та засобів захисту рослин»;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620,00000 тис. грн, тобто на всю суму, за заходом 7.15. «Придбання дитячих майданчиків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676,98000 тис. грн (з 1 249,98000 тис. грн. до 573,00000 тис. грн) за заходом 8.3. «Послуги з вилову безпритульних тварин з подальшою  стерилізацією, післяопераційною перетримкою, вакцинацією та поверненням на попереднє місце перебування»; 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B761F6">
        <w:rPr>
          <w:rFonts w:ascii="Times New Roman" w:hAnsi="Times New Roman"/>
          <w:sz w:val="24"/>
          <w:szCs w:val="24"/>
          <w:lang w:val="uk-UA"/>
        </w:rPr>
        <w:t>Доповнення Додатку до Програми розділом ХVІI «Видатки, пов'язані з наданням підтримки внутрішньо переміщеним та/або евакуйованим особам у зв'язку із введенням воєнного стану» з підпунктами: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 1.1. «Придбання побутової техніки для облаштування місць тимчасового перебування внутрішньо переміщених (евакуйованих) осіб» з очікуваним обсягом фінансування 270,0000 тис. грн;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1.2. «Поточний ремонт системи  водовідведення з покрівлі нежитлового приміщення за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: вул. Берегова, 129, с.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Пустовійтівка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>, Роменський район, Сумська область для облаштування місць тимчасового перебування внутрішньо переміщених (евакуйованих) осіб» з очікуваним обсягом фінансування 199,00000 тис. грн;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1.3. «Поточний ремонт вимощення нежитлового приміщення за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: вул. Берегова, 129, с.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Пустовійтівка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>, Роменський район, Сумська область для облаштування місць тимчасового перебування внутрішньо переміщених (евакуйованих) осіб» з очікуваним обсягом фінансування 199,00000 тис. грн.</w:t>
      </w:r>
    </w:p>
    <w:p w:rsidR="00A11D66" w:rsidRPr="00B761F6" w:rsidRDefault="00A11D66" w:rsidP="00A1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Pr="00B761F6" w:rsidRDefault="00A11D66" w:rsidP="00A11D66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A11D66" w:rsidRPr="00B761F6" w:rsidRDefault="00A11D66" w:rsidP="00A11D66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A11D66" w:rsidRPr="00B761F6" w:rsidRDefault="00A11D66" w:rsidP="00A11D66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  <w:t>Олена ГРЕБЕНЮК</w:t>
      </w:r>
    </w:p>
    <w:p w:rsidR="00A11D66" w:rsidRPr="00B761F6" w:rsidRDefault="00A11D66" w:rsidP="00A11D66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D66" w:rsidRPr="00B761F6" w:rsidRDefault="00A11D66" w:rsidP="00A11D66">
      <w:pPr>
        <w:spacing w:after="0" w:line="273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545B99" w:rsidRDefault="00A11D66" w:rsidP="00A11D66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AC77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                      Наталія МОСКАЛЕНКО</w:t>
      </w: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440D1D" w:rsidSect="00A11D66">
      <w:pgSz w:w="11906" w:h="16838"/>
      <w:pgMar w:top="993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9C1" w:rsidRDefault="00C579C1" w:rsidP="00824099">
      <w:pPr>
        <w:spacing w:after="0" w:line="240" w:lineRule="auto"/>
      </w:pPr>
      <w:r>
        <w:separator/>
      </w:r>
    </w:p>
  </w:endnote>
  <w:endnote w:type="continuationSeparator" w:id="0">
    <w:p w:rsidR="00C579C1" w:rsidRDefault="00C579C1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9C1" w:rsidRDefault="00C579C1" w:rsidP="00824099">
      <w:pPr>
        <w:spacing w:after="0" w:line="240" w:lineRule="auto"/>
      </w:pPr>
      <w:r>
        <w:separator/>
      </w:r>
    </w:p>
  </w:footnote>
  <w:footnote w:type="continuationSeparator" w:id="0">
    <w:p w:rsidR="00C579C1" w:rsidRDefault="00C579C1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DF1747"/>
    <w:multiLevelType w:val="hybridMultilevel"/>
    <w:tmpl w:val="8F1C9582"/>
    <w:lvl w:ilvl="0" w:tplc="B46E626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29D6A1A"/>
    <w:multiLevelType w:val="hybridMultilevel"/>
    <w:tmpl w:val="CC72CC62"/>
    <w:lvl w:ilvl="0" w:tplc="2EC8F3C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781811"/>
    <w:multiLevelType w:val="hybridMultilevel"/>
    <w:tmpl w:val="39C0F9B0"/>
    <w:lvl w:ilvl="0" w:tplc="188C38D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8"/>
    <w:rsid w:val="000001DF"/>
    <w:rsid w:val="00002D6C"/>
    <w:rsid w:val="0000390F"/>
    <w:rsid w:val="00010D24"/>
    <w:rsid w:val="00015D89"/>
    <w:rsid w:val="00020BFD"/>
    <w:rsid w:val="00023126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19F6"/>
    <w:rsid w:val="000945D6"/>
    <w:rsid w:val="00096F39"/>
    <w:rsid w:val="000A0396"/>
    <w:rsid w:val="000B05B0"/>
    <w:rsid w:val="000B1C73"/>
    <w:rsid w:val="000B1CEB"/>
    <w:rsid w:val="000B242A"/>
    <w:rsid w:val="000B6240"/>
    <w:rsid w:val="000B6A55"/>
    <w:rsid w:val="000B79EF"/>
    <w:rsid w:val="000C2AAE"/>
    <w:rsid w:val="000C31A6"/>
    <w:rsid w:val="000C333C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364A"/>
    <w:rsid w:val="000E4CCD"/>
    <w:rsid w:val="000F6A58"/>
    <w:rsid w:val="000F777D"/>
    <w:rsid w:val="00101E8C"/>
    <w:rsid w:val="00102256"/>
    <w:rsid w:val="001032A2"/>
    <w:rsid w:val="00104EDD"/>
    <w:rsid w:val="001077AE"/>
    <w:rsid w:val="00113C7E"/>
    <w:rsid w:val="00113DA0"/>
    <w:rsid w:val="00120DAF"/>
    <w:rsid w:val="00122FC3"/>
    <w:rsid w:val="001234F2"/>
    <w:rsid w:val="00124E3C"/>
    <w:rsid w:val="00124EB8"/>
    <w:rsid w:val="0013030E"/>
    <w:rsid w:val="00130D00"/>
    <w:rsid w:val="00131A50"/>
    <w:rsid w:val="00132982"/>
    <w:rsid w:val="0013322C"/>
    <w:rsid w:val="00134E13"/>
    <w:rsid w:val="00141321"/>
    <w:rsid w:val="00144588"/>
    <w:rsid w:val="00144623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87A08"/>
    <w:rsid w:val="00191261"/>
    <w:rsid w:val="00191C87"/>
    <w:rsid w:val="001A1272"/>
    <w:rsid w:val="001A21F0"/>
    <w:rsid w:val="001A35D5"/>
    <w:rsid w:val="001A7AB6"/>
    <w:rsid w:val="001B320B"/>
    <w:rsid w:val="001B3B44"/>
    <w:rsid w:val="001B3E87"/>
    <w:rsid w:val="001C072D"/>
    <w:rsid w:val="001C2A54"/>
    <w:rsid w:val="001C385E"/>
    <w:rsid w:val="001C69FD"/>
    <w:rsid w:val="001C6B0F"/>
    <w:rsid w:val="001D5370"/>
    <w:rsid w:val="001E39E1"/>
    <w:rsid w:val="001F0C80"/>
    <w:rsid w:val="001F2116"/>
    <w:rsid w:val="00212E38"/>
    <w:rsid w:val="00214088"/>
    <w:rsid w:val="00216761"/>
    <w:rsid w:val="00220003"/>
    <w:rsid w:val="0022175D"/>
    <w:rsid w:val="00222FF8"/>
    <w:rsid w:val="00223541"/>
    <w:rsid w:val="00232DD5"/>
    <w:rsid w:val="00235AB6"/>
    <w:rsid w:val="00237421"/>
    <w:rsid w:val="0024122C"/>
    <w:rsid w:val="00242F82"/>
    <w:rsid w:val="002449E2"/>
    <w:rsid w:val="00244A8F"/>
    <w:rsid w:val="00245209"/>
    <w:rsid w:val="00246116"/>
    <w:rsid w:val="00247486"/>
    <w:rsid w:val="00253D35"/>
    <w:rsid w:val="002543CB"/>
    <w:rsid w:val="00256686"/>
    <w:rsid w:val="002600EC"/>
    <w:rsid w:val="002659D0"/>
    <w:rsid w:val="00267715"/>
    <w:rsid w:val="00267A61"/>
    <w:rsid w:val="00276183"/>
    <w:rsid w:val="002779F7"/>
    <w:rsid w:val="00282798"/>
    <w:rsid w:val="0028300A"/>
    <w:rsid w:val="00283031"/>
    <w:rsid w:val="00284763"/>
    <w:rsid w:val="00284922"/>
    <w:rsid w:val="00285E35"/>
    <w:rsid w:val="00293010"/>
    <w:rsid w:val="00293F14"/>
    <w:rsid w:val="00297305"/>
    <w:rsid w:val="002A0C06"/>
    <w:rsid w:val="002A1457"/>
    <w:rsid w:val="002A299E"/>
    <w:rsid w:val="002A379E"/>
    <w:rsid w:val="002A4DF2"/>
    <w:rsid w:val="002A784E"/>
    <w:rsid w:val="002B19CB"/>
    <w:rsid w:val="002B4C6F"/>
    <w:rsid w:val="002B6332"/>
    <w:rsid w:val="002B695A"/>
    <w:rsid w:val="002B76D3"/>
    <w:rsid w:val="002C036D"/>
    <w:rsid w:val="002C0E13"/>
    <w:rsid w:val="002C5334"/>
    <w:rsid w:val="002C6278"/>
    <w:rsid w:val="002C6CFF"/>
    <w:rsid w:val="002C7E1A"/>
    <w:rsid w:val="002D15B7"/>
    <w:rsid w:val="002D6064"/>
    <w:rsid w:val="002D69FF"/>
    <w:rsid w:val="002E7BEC"/>
    <w:rsid w:val="002F101C"/>
    <w:rsid w:val="002F5251"/>
    <w:rsid w:val="002F5B01"/>
    <w:rsid w:val="002F79F6"/>
    <w:rsid w:val="00304FE3"/>
    <w:rsid w:val="003112F8"/>
    <w:rsid w:val="0031561F"/>
    <w:rsid w:val="0032353C"/>
    <w:rsid w:val="00323DD3"/>
    <w:rsid w:val="0032631D"/>
    <w:rsid w:val="00332D15"/>
    <w:rsid w:val="00340606"/>
    <w:rsid w:val="00341658"/>
    <w:rsid w:val="00343F41"/>
    <w:rsid w:val="00343F95"/>
    <w:rsid w:val="0034406F"/>
    <w:rsid w:val="003461F8"/>
    <w:rsid w:val="003478CF"/>
    <w:rsid w:val="0035150E"/>
    <w:rsid w:val="00353260"/>
    <w:rsid w:val="00353EB5"/>
    <w:rsid w:val="00356EFC"/>
    <w:rsid w:val="00360092"/>
    <w:rsid w:val="003633D0"/>
    <w:rsid w:val="00364829"/>
    <w:rsid w:val="003678D2"/>
    <w:rsid w:val="00367B65"/>
    <w:rsid w:val="003704AF"/>
    <w:rsid w:val="0037222F"/>
    <w:rsid w:val="00373356"/>
    <w:rsid w:val="0037397B"/>
    <w:rsid w:val="0038379B"/>
    <w:rsid w:val="00390E65"/>
    <w:rsid w:val="003A501A"/>
    <w:rsid w:val="003B4D5A"/>
    <w:rsid w:val="003B6ACD"/>
    <w:rsid w:val="003D03E0"/>
    <w:rsid w:val="003D3424"/>
    <w:rsid w:val="003E01AA"/>
    <w:rsid w:val="003E1600"/>
    <w:rsid w:val="003E1754"/>
    <w:rsid w:val="003E1E9D"/>
    <w:rsid w:val="003E45D5"/>
    <w:rsid w:val="003E6911"/>
    <w:rsid w:val="003E7368"/>
    <w:rsid w:val="0040016E"/>
    <w:rsid w:val="00401A79"/>
    <w:rsid w:val="004130D1"/>
    <w:rsid w:val="004155CA"/>
    <w:rsid w:val="00415983"/>
    <w:rsid w:val="00416B9E"/>
    <w:rsid w:val="00416F64"/>
    <w:rsid w:val="00420EC7"/>
    <w:rsid w:val="0042174B"/>
    <w:rsid w:val="00423C46"/>
    <w:rsid w:val="00423C52"/>
    <w:rsid w:val="00431D3D"/>
    <w:rsid w:val="00437958"/>
    <w:rsid w:val="00440D1D"/>
    <w:rsid w:val="00441758"/>
    <w:rsid w:val="00442D24"/>
    <w:rsid w:val="00446063"/>
    <w:rsid w:val="004514F5"/>
    <w:rsid w:val="00456BC1"/>
    <w:rsid w:val="00456EEA"/>
    <w:rsid w:val="004579E4"/>
    <w:rsid w:val="004651A0"/>
    <w:rsid w:val="004666C4"/>
    <w:rsid w:val="0047127D"/>
    <w:rsid w:val="004716B1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31C1"/>
    <w:rsid w:val="004B2072"/>
    <w:rsid w:val="004C65D9"/>
    <w:rsid w:val="004C6EB8"/>
    <w:rsid w:val="004D6566"/>
    <w:rsid w:val="004D7E1A"/>
    <w:rsid w:val="004E1D74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4D2B"/>
    <w:rsid w:val="00515BF7"/>
    <w:rsid w:val="005160F9"/>
    <w:rsid w:val="005245CD"/>
    <w:rsid w:val="005340D1"/>
    <w:rsid w:val="00534D19"/>
    <w:rsid w:val="00536009"/>
    <w:rsid w:val="0054189D"/>
    <w:rsid w:val="0054220B"/>
    <w:rsid w:val="0054473D"/>
    <w:rsid w:val="00545B99"/>
    <w:rsid w:val="005471CC"/>
    <w:rsid w:val="00551934"/>
    <w:rsid w:val="00553321"/>
    <w:rsid w:val="00553D3E"/>
    <w:rsid w:val="00554FED"/>
    <w:rsid w:val="00556AF0"/>
    <w:rsid w:val="00562AAF"/>
    <w:rsid w:val="0056395E"/>
    <w:rsid w:val="00563E58"/>
    <w:rsid w:val="00563ECB"/>
    <w:rsid w:val="00566E40"/>
    <w:rsid w:val="005673A1"/>
    <w:rsid w:val="00570DFC"/>
    <w:rsid w:val="00571CEC"/>
    <w:rsid w:val="00573713"/>
    <w:rsid w:val="00574E90"/>
    <w:rsid w:val="00576DD8"/>
    <w:rsid w:val="00581922"/>
    <w:rsid w:val="00584F97"/>
    <w:rsid w:val="0058713B"/>
    <w:rsid w:val="00593F8F"/>
    <w:rsid w:val="00595C92"/>
    <w:rsid w:val="005961DF"/>
    <w:rsid w:val="005A1220"/>
    <w:rsid w:val="005A14B8"/>
    <w:rsid w:val="005A4889"/>
    <w:rsid w:val="005A4B9E"/>
    <w:rsid w:val="005B0BE6"/>
    <w:rsid w:val="005B0E08"/>
    <w:rsid w:val="005B1307"/>
    <w:rsid w:val="005B14F4"/>
    <w:rsid w:val="005B476A"/>
    <w:rsid w:val="005C4325"/>
    <w:rsid w:val="005C6418"/>
    <w:rsid w:val="005C6E33"/>
    <w:rsid w:val="005D2577"/>
    <w:rsid w:val="005D5BEE"/>
    <w:rsid w:val="005D5FB0"/>
    <w:rsid w:val="005E3A70"/>
    <w:rsid w:val="005E71B0"/>
    <w:rsid w:val="005F05A8"/>
    <w:rsid w:val="005F0F8A"/>
    <w:rsid w:val="005F68F8"/>
    <w:rsid w:val="00601778"/>
    <w:rsid w:val="00603F12"/>
    <w:rsid w:val="00605424"/>
    <w:rsid w:val="00605BDE"/>
    <w:rsid w:val="0060683A"/>
    <w:rsid w:val="006074EF"/>
    <w:rsid w:val="006115EA"/>
    <w:rsid w:val="00611CFA"/>
    <w:rsid w:val="00613711"/>
    <w:rsid w:val="00613A18"/>
    <w:rsid w:val="00620113"/>
    <w:rsid w:val="00622E9C"/>
    <w:rsid w:val="0062301B"/>
    <w:rsid w:val="006239F3"/>
    <w:rsid w:val="00624C4D"/>
    <w:rsid w:val="00630A80"/>
    <w:rsid w:val="0063221B"/>
    <w:rsid w:val="006362F3"/>
    <w:rsid w:val="00636684"/>
    <w:rsid w:val="006403D3"/>
    <w:rsid w:val="00640858"/>
    <w:rsid w:val="00643571"/>
    <w:rsid w:val="00643F3A"/>
    <w:rsid w:val="0065310F"/>
    <w:rsid w:val="0065747C"/>
    <w:rsid w:val="006627C5"/>
    <w:rsid w:val="00663358"/>
    <w:rsid w:val="00663E45"/>
    <w:rsid w:val="00667977"/>
    <w:rsid w:val="00673F9C"/>
    <w:rsid w:val="00675A5B"/>
    <w:rsid w:val="00680236"/>
    <w:rsid w:val="0068175C"/>
    <w:rsid w:val="00690387"/>
    <w:rsid w:val="00696C2F"/>
    <w:rsid w:val="00696C37"/>
    <w:rsid w:val="006B0076"/>
    <w:rsid w:val="006B10CA"/>
    <w:rsid w:val="006B15EB"/>
    <w:rsid w:val="006B1B03"/>
    <w:rsid w:val="006B277B"/>
    <w:rsid w:val="006B58DF"/>
    <w:rsid w:val="006C164D"/>
    <w:rsid w:val="006C61A5"/>
    <w:rsid w:val="006C72D0"/>
    <w:rsid w:val="006D1338"/>
    <w:rsid w:val="006D4969"/>
    <w:rsid w:val="006E10EC"/>
    <w:rsid w:val="006E29C7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5B6C"/>
    <w:rsid w:val="00705A2B"/>
    <w:rsid w:val="0070692C"/>
    <w:rsid w:val="00710945"/>
    <w:rsid w:val="007127FA"/>
    <w:rsid w:val="007132CA"/>
    <w:rsid w:val="00715997"/>
    <w:rsid w:val="00715CD5"/>
    <w:rsid w:val="00722E0D"/>
    <w:rsid w:val="00722F7F"/>
    <w:rsid w:val="00723400"/>
    <w:rsid w:val="007248C8"/>
    <w:rsid w:val="00731031"/>
    <w:rsid w:val="00733511"/>
    <w:rsid w:val="00734EE9"/>
    <w:rsid w:val="007403A5"/>
    <w:rsid w:val="00743373"/>
    <w:rsid w:val="007441DA"/>
    <w:rsid w:val="0074433F"/>
    <w:rsid w:val="0074566F"/>
    <w:rsid w:val="0075153D"/>
    <w:rsid w:val="00752229"/>
    <w:rsid w:val="007575EC"/>
    <w:rsid w:val="00760FC5"/>
    <w:rsid w:val="00761202"/>
    <w:rsid w:val="00763BB8"/>
    <w:rsid w:val="00763D78"/>
    <w:rsid w:val="00765795"/>
    <w:rsid w:val="007706B6"/>
    <w:rsid w:val="00771FAE"/>
    <w:rsid w:val="00773BF8"/>
    <w:rsid w:val="0077448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97A25"/>
    <w:rsid w:val="00797B63"/>
    <w:rsid w:val="007A058A"/>
    <w:rsid w:val="007A42E9"/>
    <w:rsid w:val="007A7A65"/>
    <w:rsid w:val="007B5F6A"/>
    <w:rsid w:val="007B7339"/>
    <w:rsid w:val="007C0F56"/>
    <w:rsid w:val="007C1EFB"/>
    <w:rsid w:val="007C31FD"/>
    <w:rsid w:val="007C5D58"/>
    <w:rsid w:val="007C65BA"/>
    <w:rsid w:val="007D036B"/>
    <w:rsid w:val="007D1521"/>
    <w:rsid w:val="007E4409"/>
    <w:rsid w:val="007E606E"/>
    <w:rsid w:val="008024D7"/>
    <w:rsid w:val="00804786"/>
    <w:rsid w:val="00805EAC"/>
    <w:rsid w:val="0080743F"/>
    <w:rsid w:val="0081068D"/>
    <w:rsid w:val="00811381"/>
    <w:rsid w:val="00811C48"/>
    <w:rsid w:val="00813F7F"/>
    <w:rsid w:val="00824099"/>
    <w:rsid w:val="00824341"/>
    <w:rsid w:val="00826168"/>
    <w:rsid w:val="00826DE5"/>
    <w:rsid w:val="00831124"/>
    <w:rsid w:val="0083179D"/>
    <w:rsid w:val="00834E9C"/>
    <w:rsid w:val="00835E52"/>
    <w:rsid w:val="008374DA"/>
    <w:rsid w:val="008413BE"/>
    <w:rsid w:val="008422AB"/>
    <w:rsid w:val="00847A28"/>
    <w:rsid w:val="00851139"/>
    <w:rsid w:val="00854EA2"/>
    <w:rsid w:val="00855085"/>
    <w:rsid w:val="0085568C"/>
    <w:rsid w:val="00856470"/>
    <w:rsid w:val="00862AA0"/>
    <w:rsid w:val="0087230B"/>
    <w:rsid w:val="00872DBC"/>
    <w:rsid w:val="00872F9E"/>
    <w:rsid w:val="00873D36"/>
    <w:rsid w:val="00873D4B"/>
    <w:rsid w:val="00873E1A"/>
    <w:rsid w:val="008800AD"/>
    <w:rsid w:val="00885A61"/>
    <w:rsid w:val="00885CCD"/>
    <w:rsid w:val="0089216D"/>
    <w:rsid w:val="008A1764"/>
    <w:rsid w:val="008A24CD"/>
    <w:rsid w:val="008A4217"/>
    <w:rsid w:val="008A7A77"/>
    <w:rsid w:val="008A7E80"/>
    <w:rsid w:val="008B26DB"/>
    <w:rsid w:val="008B29AA"/>
    <w:rsid w:val="008B3324"/>
    <w:rsid w:val="008B5AF0"/>
    <w:rsid w:val="008B76F5"/>
    <w:rsid w:val="008C11AB"/>
    <w:rsid w:val="008C188F"/>
    <w:rsid w:val="008C4195"/>
    <w:rsid w:val="008C52FE"/>
    <w:rsid w:val="008C569B"/>
    <w:rsid w:val="008D13C2"/>
    <w:rsid w:val="008D44C6"/>
    <w:rsid w:val="008D4AD5"/>
    <w:rsid w:val="008E1CE2"/>
    <w:rsid w:val="008E2BFD"/>
    <w:rsid w:val="008E5A7C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09E8"/>
    <w:rsid w:val="009617E4"/>
    <w:rsid w:val="00962028"/>
    <w:rsid w:val="00964083"/>
    <w:rsid w:val="00964D96"/>
    <w:rsid w:val="00971706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1AC"/>
    <w:rsid w:val="009A2FDE"/>
    <w:rsid w:val="009A540A"/>
    <w:rsid w:val="009B38CE"/>
    <w:rsid w:val="009C01C1"/>
    <w:rsid w:val="009C3561"/>
    <w:rsid w:val="009C72E6"/>
    <w:rsid w:val="009C7881"/>
    <w:rsid w:val="009E12FF"/>
    <w:rsid w:val="009E4AFD"/>
    <w:rsid w:val="009E6E42"/>
    <w:rsid w:val="009E6FEC"/>
    <w:rsid w:val="009E7654"/>
    <w:rsid w:val="009F5358"/>
    <w:rsid w:val="009F69F9"/>
    <w:rsid w:val="009F7642"/>
    <w:rsid w:val="00A00691"/>
    <w:rsid w:val="00A00C8D"/>
    <w:rsid w:val="00A060DC"/>
    <w:rsid w:val="00A11D66"/>
    <w:rsid w:val="00A14B6F"/>
    <w:rsid w:val="00A15B80"/>
    <w:rsid w:val="00A20393"/>
    <w:rsid w:val="00A22AB1"/>
    <w:rsid w:val="00A22F6E"/>
    <w:rsid w:val="00A2605D"/>
    <w:rsid w:val="00A34F74"/>
    <w:rsid w:val="00A3730E"/>
    <w:rsid w:val="00A37922"/>
    <w:rsid w:val="00A42FFD"/>
    <w:rsid w:val="00A44600"/>
    <w:rsid w:val="00A5075A"/>
    <w:rsid w:val="00A510A7"/>
    <w:rsid w:val="00A52B6E"/>
    <w:rsid w:val="00A558F9"/>
    <w:rsid w:val="00A6176D"/>
    <w:rsid w:val="00A62E21"/>
    <w:rsid w:val="00A65A42"/>
    <w:rsid w:val="00A7061D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91433"/>
    <w:rsid w:val="00AA26CF"/>
    <w:rsid w:val="00AA28F5"/>
    <w:rsid w:val="00AA43FE"/>
    <w:rsid w:val="00AA488A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4F0A"/>
    <w:rsid w:val="00AC5716"/>
    <w:rsid w:val="00AC7324"/>
    <w:rsid w:val="00AC77B3"/>
    <w:rsid w:val="00AD0FD9"/>
    <w:rsid w:val="00AD1112"/>
    <w:rsid w:val="00AD4C10"/>
    <w:rsid w:val="00AE5638"/>
    <w:rsid w:val="00AE6810"/>
    <w:rsid w:val="00AF2DE4"/>
    <w:rsid w:val="00AF55EE"/>
    <w:rsid w:val="00AF6AAF"/>
    <w:rsid w:val="00B04ACE"/>
    <w:rsid w:val="00B12A17"/>
    <w:rsid w:val="00B15059"/>
    <w:rsid w:val="00B154D2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7500"/>
    <w:rsid w:val="00B60A63"/>
    <w:rsid w:val="00B61AEB"/>
    <w:rsid w:val="00B6596B"/>
    <w:rsid w:val="00B662A7"/>
    <w:rsid w:val="00B81E63"/>
    <w:rsid w:val="00B85773"/>
    <w:rsid w:val="00B86E5A"/>
    <w:rsid w:val="00B94ABA"/>
    <w:rsid w:val="00BA2372"/>
    <w:rsid w:val="00BA3FC0"/>
    <w:rsid w:val="00BA5921"/>
    <w:rsid w:val="00BB18F1"/>
    <w:rsid w:val="00BC2892"/>
    <w:rsid w:val="00BC54CB"/>
    <w:rsid w:val="00BC55B1"/>
    <w:rsid w:val="00BC5868"/>
    <w:rsid w:val="00BC59F4"/>
    <w:rsid w:val="00BD067A"/>
    <w:rsid w:val="00BD1A32"/>
    <w:rsid w:val="00BD3FE5"/>
    <w:rsid w:val="00BD610D"/>
    <w:rsid w:val="00BD65FD"/>
    <w:rsid w:val="00BE063D"/>
    <w:rsid w:val="00BE193D"/>
    <w:rsid w:val="00BE2629"/>
    <w:rsid w:val="00BE2C58"/>
    <w:rsid w:val="00BE4F89"/>
    <w:rsid w:val="00C0123E"/>
    <w:rsid w:val="00C029BF"/>
    <w:rsid w:val="00C05CED"/>
    <w:rsid w:val="00C07368"/>
    <w:rsid w:val="00C07FDD"/>
    <w:rsid w:val="00C1254D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759A"/>
    <w:rsid w:val="00C44603"/>
    <w:rsid w:val="00C4590D"/>
    <w:rsid w:val="00C5019D"/>
    <w:rsid w:val="00C5578A"/>
    <w:rsid w:val="00C5795E"/>
    <w:rsid w:val="00C579C1"/>
    <w:rsid w:val="00C60588"/>
    <w:rsid w:val="00C63EF9"/>
    <w:rsid w:val="00C64D65"/>
    <w:rsid w:val="00C66440"/>
    <w:rsid w:val="00C74D7B"/>
    <w:rsid w:val="00C7587E"/>
    <w:rsid w:val="00C75B0B"/>
    <w:rsid w:val="00C80062"/>
    <w:rsid w:val="00C81400"/>
    <w:rsid w:val="00C814C7"/>
    <w:rsid w:val="00C828D7"/>
    <w:rsid w:val="00C84704"/>
    <w:rsid w:val="00C8481B"/>
    <w:rsid w:val="00C85564"/>
    <w:rsid w:val="00C86E5A"/>
    <w:rsid w:val="00C97387"/>
    <w:rsid w:val="00CA4901"/>
    <w:rsid w:val="00CA5155"/>
    <w:rsid w:val="00CA53E9"/>
    <w:rsid w:val="00CA580C"/>
    <w:rsid w:val="00CA6019"/>
    <w:rsid w:val="00CB09FC"/>
    <w:rsid w:val="00CB4119"/>
    <w:rsid w:val="00CC1CEF"/>
    <w:rsid w:val="00CC5BC6"/>
    <w:rsid w:val="00CC6831"/>
    <w:rsid w:val="00CD1D0C"/>
    <w:rsid w:val="00CD5BEA"/>
    <w:rsid w:val="00CD6A1F"/>
    <w:rsid w:val="00CE2407"/>
    <w:rsid w:val="00CE4E9F"/>
    <w:rsid w:val="00CE5907"/>
    <w:rsid w:val="00CE6673"/>
    <w:rsid w:val="00CF06C2"/>
    <w:rsid w:val="00CF1A38"/>
    <w:rsid w:val="00CF2606"/>
    <w:rsid w:val="00CF2A63"/>
    <w:rsid w:val="00D04583"/>
    <w:rsid w:val="00D06045"/>
    <w:rsid w:val="00D06E3B"/>
    <w:rsid w:val="00D11751"/>
    <w:rsid w:val="00D13241"/>
    <w:rsid w:val="00D16FC2"/>
    <w:rsid w:val="00D21BF0"/>
    <w:rsid w:val="00D23D8F"/>
    <w:rsid w:val="00D30CFC"/>
    <w:rsid w:val="00D32704"/>
    <w:rsid w:val="00D36CCC"/>
    <w:rsid w:val="00D37F2D"/>
    <w:rsid w:val="00D4007D"/>
    <w:rsid w:val="00D401E9"/>
    <w:rsid w:val="00D44237"/>
    <w:rsid w:val="00D457AB"/>
    <w:rsid w:val="00D46E7D"/>
    <w:rsid w:val="00D554B3"/>
    <w:rsid w:val="00D558BF"/>
    <w:rsid w:val="00D56A62"/>
    <w:rsid w:val="00D642E5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85FD1"/>
    <w:rsid w:val="00D900A6"/>
    <w:rsid w:val="00D90FE8"/>
    <w:rsid w:val="00D97024"/>
    <w:rsid w:val="00DA4F20"/>
    <w:rsid w:val="00DA7EE1"/>
    <w:rsid w:val="00DB4AA7"/>
    <w:rsid w:val="00DC38E6"/>
    <w:rsid w:val="00DD0468"/>
    <w:rsid w:val="00DD2B62"/>
    <w:rsid w:val="00DD317E"/>
    <w:rsid w:val="00DD566A"/>
    <w:rsid w:val="00DE083C"/>
    <w:rsid w:val="00DE16C3"/>
    <w:rsid w:val="00DE23DD"/>
    <w:rsid w:val="00DE333A"/>
    <w:rsid w:val="00DE710C"/>
    <w:rsid w:val="00DF1EFF"/>
    <w:rsid w:val="00E01B5D"/>
    <w:rsid w:val="00E01FEC"/>
    <w:rsid w:val="00E114F6"/>
    <w:rsid w:val="00E129F9"/>
    <w:rsid w:val="00E12A93"/>
    <w:rsid w:val="00E1319A"/>
    <w:rsid w:val="00E149FF"/>
    <w:rsid w:val="00E21F83"/>
    <w:rsid w:val="00E240BC"/>
    <w:rsid w:val="00E243A9"/>
    <w:rsid w:val="00E26305"/>
    <w:rsid w:val="00E326A5"/>
    <w:rsid w:val="00E401BE"/>
    <w:rsid w:val="00E4728C"/>
    <w:rsid w:val="00E52219"/>
    <w:rsid w:val="00E54F1B"/>
    <w:rsid w:val="00E65821"/>
    <w:rsid w:val="00E71A86"/>
    <w:rsid w:val="00E727D8"/>
    <w:rsid w:val="00E73194"/>
    <w:rsid w:val="00E742ED"/>
    <w:rsid w:val="00E74DEA"/>
    <w:rsid w:val="00E74F38"/>
    <w:rsid w:val="00E8232B"/>
    <w:rsid w:val="00E84EBD"/>
    <w:rsid w:val="00E85182"/>
    <w:rsid w:val="00E85D9A"/>
    <w:rsid w:val="00E90C03"/>
    <w:rsid w:val="00E90D03"/>
    <w:rsid w:val="00E92657"/>
    <w:rsid w:val="00E92CDD"/>
    <w:rsid w:val="00E94660"/>
    <w:rsid w:val="00E96981"/>
    <w:rsid w:val="00E9753E"/>
    <w:rsid w:val="00EA567B"/>
    <w:rsid w:val="00EA69C9"/>
    <w:rsid w:val="00EA7414"/>
    <w:rsid w:val="00EB342F"/>
    <w:rsid w:val="00EB3F35"/>
    <w:rsid w:val="00EB521A"/>
    <w:rsid w:val="00EB62D4"/>
    <w:rsid w:val="00EC56B8"/>
    <w:rsid w:val="00EC7F09"/>
    <w:rsid w:val="00ED275F"/>
    <w:rsid w:val="00ED670E"/>
    <w:rsid w:val="00EE046F"/>
    <w:rsid w:val="00EE0700"/>
    <w:rsid w:val="00EE42A1"/>
    <w:rsid w:val="00EE47A0"/>
    <w:rsid w:val="00EE5345"/>
    <w:rsid w:val="00EE6A8A"/>
    <w:rsid w:val="00EF03B6"/>
    <w:rsid w:val="00EF337F"/>
    <w:rsid w:val="00EF4F2B"/>
    <w:rsid w:val="00EF552C"/>
    <w:rsid w:val="00F01297"/>
    <w:rsid w:val="00F0137D"/>
    <w:rsid w:val="00F0235D"/>
    <w:rsid w:val="00F05017"/>
    <w:rsid w:val="00F1085E"/>
    <w:rsid w:val="00F16D99"/>
    <w:rsid w:val="00F224C0"/>
    <w:rsid w:val="00F22901"/>
    <w:rsid w:val="00F269A6"/>
    <w:rsid w:val="00F302C8"/>
    <w:rsid w:val="00F310F0"/>
    <w:rsid w:val="00F51E30"/>
    <w:rsid w:val="00F5248B"/>
    <w:rsid w:val="00F52E4F"/>
    <w:rsid w:val="00F53844"/>
    <w:rsid w:val="00F561AE"/>
    <w:rsid w:val="00F56C8B"/>
    <w:rsid w:val="00F64258"/>
    <w:rsid w:val="00F671A1"/>
    <w:rsid w:val="00F732F6"/>
    <w:rsid w:val="00F7379A"/>
    <w:rsid w:val="00F75B4C"/>
    <w:rsid w:val="00F839F1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2369"/>
    <w:rsid w:val="00FB3B1F"/>
    <w:rsid w:val="00FB4866"/>
    <w:rsid w:val="00FB68E0"/>
    <w:rsid w:val="00FC2B48"/>
    <w:rsid w:val="00FC4A34"/>
    <w:rsid w:val="00FC4C0F"/>
    <w:rsid w:val="00FC62CF"/>
    <w:rsid w:val="00FC6E4B"/>
    <w:rsid w:val="00FD1F31"/>
    <w:rsid w:val="00FD5E38"/>
    <w:rsid w:val="00FE0568"/>
    <w:rsid w:val="00FE1CE2"/>
    <w:rsid w:val="00FE25A9"/>
    <w:rsid w:val="00FE41DF"/>
    <w:rsid w:val="00FE5F04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3F82"/>
  <w15:docId w15:val="{964FAC6C-1FA7-402F-8F1E-B26477B1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56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BC04-0DE3-4DFE-9DDD-C7B4B61E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18250</Words>
  <Characters>10403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223</cp:revision>
  <cp:lastPrinted>2026-06-15T09:42:00Z</cp:lastPrinted>
  <dcterms:created xsi:type="dcterms:W3CDTF">2025-09-17T06:06:00Z</dcterms:created>
  <dcterms:modified xsi:type="dcterms:W3CDTF">2026-06-15T09:43:00Z</dcterms:modified>
</cp:coreProperties>
</file>