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643" w:rsidRPr="00066214" w:rsidRDefault="00A66643" w:rsidP="00A66643">
      <w:pPr>
        <w:tabs>
          <w:tab w:val="left" w:pos="180"/>
          <w:tab w:val="left" w:pos="7088"/>
        </w:tabs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B088C">
        <w:rPr>
          <w:rFonts w:ascii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31B07C5" wp14:editId="2F05D2BB">
            <wp:extent cx="561975" cy="695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66643" w:rsidRPr="00066214" w:rsidRDefault="00A66643" w:rsidP="00A66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66214">
        <w:rPr>
          <w:rFonts w:ascii="Times New Roman" w:hAnsi="Times New Roman"/>
          <w:b/>
          <w:sz w:val="24"/>
          <w:szCs w:val="24"/>
        </w:rPr>
        <w:t>РОМЕНСЬКА МІСЬКА РАДА СУМСЬКОЇ ОБЛАСТІ</w:t>
      </w:r>
    </w:p>
    <w:p w:rsidR="00A66643" w:rsidRPr="00066214" w:rsidRDefault="00A66643" w:rsidP="00A66643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ВОСЬМЕ</w:t>
      </w:r>
      <w:r w:rsidRPr="00066214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A66643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СТО </w:t>
      </w:r>
      <w:r w:rsidR="00280095">
        <w:rPr>
          <w:rFonts w:ascii="Times New Roman" w:hAnsi="Times New Roman"/>
          <w:b/>
          <w:bCs/>
          <w:sz w:val="24"/>
          <w:szCs w:val="24"/>
          <w:lang w:val="uk-UA"/>
        </w:rPr>
        <w:t>ДВАНАДЦЯТА</w:t>
      </w:r>
      <w:r w:rsidRPr="00066214">
        <w:rPr>
          <w:rFonts w:ascii="Times New Roman" w:hAnsi="Times New Roman"/>
          <w:b/>
          <w:bCs/>
          <w:sz w:val="24"/>
          <w:szCs w:val="24"/>
        </w:rPr>
        <w:t xml:space="preserve"> СЕСІЯ</w:t>
      </w:r>
    </w:p>
    <w:p w:rsidR="00A66643" w:rsidRPr="00D45BAD" w:rsidRDefault="00A66643" w:rsidP="00A66643">
      <w:pPr>
        <w:keepNext/>
        <w:keepLines/>
        <w:spacing w:after="120"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РІШЕННЯ</w:t>
      </w:r>
    </w:p>
    <w:p w:rsidR="00A66643" w:rsidRDefault="00BE7BB0" w:rsidP="00A66643">
      <w:pPr>
        <w:pStyle w:val="ac"/>
        <w:spacing w:after="12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24.06.</w:t>
      </w:r>
      <w:r w:rsidR="00A66643">
        <w:rPr>
          <w:rFonts w:ascii="Times New Roman" w:hAnsi="Times New Roman"/>
          <w:b/>
          <w:sz w:val="24"/>
          <w:szCs w:val="24"/>
          <w:lang w:val="uk-UA"/>
        </w:rPr>
        <w:t>2026</w:t>
      </w:r>
      <w:r w:rsidR="00A66643">
        <w:rPr>
          <w:rFonts w:ascii="Times New Roman" w:hAnsi="Times New Roman"/>
          <w:b/>
          <w:bCs/>
          <w:sz w:val="24"/>
          <w:szCs w:val="24"/>
        </w:rPr>
        <w:tab/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66643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</w:t>
      </w:r>
      <w:r w:rsidR="00A66643" w:rsidRPr="00066214">
        <w:rPr>
          <w:rFonts w:ascii="Times New Roman" w:hAnsi="Times New Roman"/>
          <w:b/>
          <w:bCs/>
          <w:sz w:val="24"/>
          <w:szCs w:val="24"/>
        </w:rPr>
        <w:t xml:space="preserve"> Ромни</w:t>
      </w:r>
    </w:p>
    <w:tbl>
      <w:tblPr>
        <w:tblW w:w="4678" w:type="dxa"/>
        <w:tblLook w:val="04A0" w:firstRow="1" w:lastRow="0" w:firstColumn="1" w:lastColumn="0" w:noHBand="0" w:noVBand="1"/>
      </w:tblPr>
      <w:tblGrid>
        <w:gridCol w:w="4678"/>
      </w:tblGrid>
      <w:tr w:rsidR="00A66643" w:rsidRPr="000931E1" w:rsidTr="003038B1">
        <w:trPr>
          <w:trHeight w:val="609"/>
        </w:trPr>
        <w:tc>
          <w:tcPr>
            <w:tcW w:w="4678" w:type="dxa"/>
          </w:tcPr>
          <w:p w:rsidR="00A66643" w:rsidRPr="006679B5" w:rsidRDefault="006679B5" w:rsidP="003A6369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припинення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оперативного управління</w:t>
            </w:r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передачу майна на </w:t>
            </w:r>
            <w:proofErr w:type="spellStart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>праві</w:t>
            </w:r>
            <w:proofErr w:type="spellEnd"/>
            <w:r w:rsidRPr="006679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узуфрукт</w:t>
            </w:r>
            <w:r w:rsidR="003A636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Територіально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му</w:t>
            </w:r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центру соціального обслуговування</w:t>
            </w:r>
            <w:r w:rsidR="0036757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(надання соціальних послуг)</w:t>
            </w:r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Роменськ</w:t>
            </w:r>
            <w:bookmarkStart w:id="0" w:name="_GoBack"/>
            <w:bookmarkEnd w:id="0"/>
            <w:r w:rsidRPr="006679B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ої міської ради</w:t>
            </w:r>
          </w:p>
        </w:tc>
      </w:tr>
    </w:tbl>
    <w:p w:rsidR="00623099" w:rsidRPr="00387CB0" w:rsidRDefault="00623099" w:rsidP="0062309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статей 25, 59, 60</w:t>
      </w:r>
      <w:r w:rsidR="00C648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F231ED" w:rsidRPr="00F231ED">
        <w:rPr>
          <w:rStyle w:val="rvts9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60</w:t>
      </w:r>
      <w:r w:rsidR="00F231ED" w:rsidRPr="00F231ED">
        <w:rPr>
          <w:rStyle w:val="rvts37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="00F231ED">
        <w:rPr>
          <w:rStyle w:val="rvts37"/>
          <w:b/>
          <w:bCs/>
          <w:color w:val="333333"/>
          <w:sz w:val="16"/>
          <w:szCs w:val="16"/>
          <w:shd w:val="clear" w:color="auto" w:fill="FFFFFF"/>
          <w:vertAlign w:val="superscript"/>
          <w:lang w:val="uk-UA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Закону України «Про </w:t>
      </w:r>
      <w:r>
        <w:rPr>
          <w:rFonts w:ascii="Times New Roman" w:hAnsi="Times New Roman"/>
          <w:sz w:val="24"/>
          <w:szCs w:val="24"/>
          <w:lang w:val="uk-UA"/>
        </w:rPr>
        <w:t>особливості регулювання діяльності юридичних осіб окремих організаційно-правих форм у перехідний період та об</w:t>
      </w:r>
      <w:r w:rsidRPr="00AB24E8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єднань юридичних осіб</w:t>
      </w:r>
      <w:r w:rsidRPr="00486703">
        <w:rPr>
          <w:rFonts w:ascii="Times New Roman" w:hAnsi="Times New Roman"/>
          <w:sz w:val="24"/>
          <w:szCs w:val="24"/>
          <w:lang w:val="uk-UA"/>
        </w:rPr>
        <w:t xml:space="preserve">», </w:t>
      </w:r>
      <w:r>
        <w:rPr>
          <w:rFonts w:ascii="Times New Roman" w:hAnsi="Times New Roman"/>
          <w:sz w:val="24"/>
          <w:szCs w:val="24"/>
          <w:lang w:val="uk-UA"/>
        </w:rPr>
        <w:t xml:space="preserve">статей 319, 398 Цивільного кодексу України, Порядку передачі державного та комунального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рішення Роменської міської ради від 22.10.2025 «Про затвердження Типового договору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громади»</w:t>
      </w:r>
      <w:r w:rsidR="006679B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87CB0">
        <w:rPr>
          <w:rFonts w:ascii="Times New Roman" w:hAnsi="Times New Roman"/>
          <w:sz w:val="24"/>
          <w:szCs w:val="24"/>
          <w:lang w:val="uk-UA"/>
        </w:rPr>
        <w:t xml:space="preserve">враховуючи технічну помилку в назві </w:t>
      </w:r>
      <w:r w:rsidR="00BE7BB0">
        <w:rPr>
          <w:rFonts w:ascii="Times New Roman" w:hAnsi="Times New Roman"/>
          <w:sz w:val="24"/>
          <w:szCs w:val="24"/>
          <w:lang w:val="uk-UA"/>
        </w:rPr>
        <w:t xml:space="preserve">юридичної особи - </w:t>
      </w:r>
      <w:r w:rsidR="00387CB0" w:rsidRPr="00387CB0">
        <w:rPr>
          <w:rFonts w:ascii="Times New Roman" w:hAnsi="Times New Roman"/>
          <w:sz w:val="24"/>
          <w:szCs w:val="24"/>
          <w:lang w:val="uk-UA"/>
        </w:rPr>
        <w:t>Територіальн</w:t>
      </w:r>
      <w:r w:rsidR="00BE7BB0">
        <w:rPr>
          <w:rFonts w:ascii="Times New Roman" w:hAnsi="Times New Roman"/>
          <w:sz w:val="24"/>
          <w:szCs w:val="24"/>
          <w:lang w:val="uk-UA"/>
        </w:rPr>
        <w:t>ого</w:t>
      </w:r>
      <w:r w:rsidR="00387CB0" w:rsidRPr="00387CB0">
        <w:rPr>
          <w:rFonts w:ascii="Times New Roman" w:hAnsi="Times New Roman"/>
          <w:sz w:val="24"/>
          <w:szCs w:val="24"/>
          <w:lang w:val="uk-UA"/>
        </w:rPr>
        <w:t xml:space="preserve"> центр</w:t>
      </w:r>
      <w:r w:rsidR="00BE7BB0">
        <w:rPr>
          <w:rFonts w:ascii="Times New Roman" w:hAnsi="Times New Roman"/>
          <w:sz w:val="24"/>
          <w:szCs w:val="24"/>
          <w:lang w:val="uk-UA"/>
        </w:rPr>
        <w:t>у</w:t>
      </w:r>
      <w:r w:rsidR="00387CB0" w:rsidRPr="00387CB0">
        <w:rPr>
          <w:rFonts w:ascii="Times New Roman" w:hAnsi="Times New Roman"/>
          <w:sz w:val="24"/>
          <w:szCs w:val="24"/>
          <w:lang w:val="uk-UA"/>
        </w:rPr>
        <w:t xml:space="preserve"> соціального обслуговування (надання соціальних послуг) Роменської міської ради</w:t>
      </w:r>
      <w:r w:rsidR="00387CB0">
        <w:rPr>
          <w:rFonts w:ascii="Times New Roman" w:hAnsi="Times New Roman"/>
          <w:sz w:val="24"/>
          <w:szCs w:val="24"/>
          <w:lang w:val="uk-UA"/>
        </w:rPr>
        <w:t xml:space="preserve"> в рішенні Роменської міської ради від 26.05.2026 «</w:t>
      </w:r>
      <w:r w:rsidR="00387CB0" w:rsidRPr="00387CB0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оперативного управління та передачу майна на праві </w:t>
      </w:r>
      <w:proofErr w:type="spellStart"/>
      <w:r w:rsidR="00387CB0" w:rsidRPr="00387CB0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="00387CB0" w:rsidRPr="00387CB0">
        <w:rPr>
          <w:rFonts w:ascii="Times New Roman" w:hAnsi="Times New Roman"/>
          <w:sz w:val="24"/>
          <w:szCs w:val="24"/>
          <w:lang w:val="uk-UA"/>
        </w:rPr>
        <w:t xml:space="preserve"> Територіальному центру соціального обслуговування Роменської міської ради</w:t>
      </w:r>
      <w:r w:rsidR="00387CB0">
        <w:rPr>
          <w:rFonts w:ascii="Times New Roman" w:hAnsi="Times New Roman"/>
          <w:sz w:val="24"/>
          <w:szCs w:val="24"/>
          <w:lang w:val="uk-UA"/>
        </w:rPr>
        <w:t>»</w:t>
      </w:r>
    </w:p>
    <w:p w:rsidR="00623099" w:rsidRDefault="00623099" w:rsidP="0062309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0931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0931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387CB0" w:rsidRPr="00387CB0" w:rsidRDefault="00387CB0" w:rsidP="00E80F3C">
      <w:pPr>
        <w:pStyle w:val="ad"/>
        <w:numPr>
          <w:ilvl w:val="0"/>
          <w:numId w:val="21"/>
        </w:numPr>
        <w:spacing w:before="120"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таким, що втратило чинність</w:t>
      </w:r>
      <w:r w:rsidR="00E80F3C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Роменської міської ради від 26.05.2026 «Про припинення права оперативного управління та передачу майна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387CB0">
        <w:rPr>
          <w:rFonts w:ascii="Times New Roman" w:hAnsi="Times New Roman"/>
          <w:sz w:val="24"/>
          <w:szCs w:val="24"/>
          <w:lang w:val="uk-UA"/>
        </w:rPr>
        <w:t>Територіальному центру соціального обслуговування Роменської міської ради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101EB9" w:rsidRDefault="00C648D7" w:rsidP="00E80F3C">
      <w:pPr>
        <w:pStyle w:val="ad"/>
        <w:numPr>
          <w:ilvl w:val="0"/>
          <w:numId w:val="21"/>
        </w:numPr>
        <w:spacing w:before="120"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Припинити </w:t>
      </w:r>
      <w:r w:rsidR="00101EB9">
        <w:rPr>
          <w:rFonts w:ascii="Times New Roman" w:hAnsi="Times New Roman"/>
          <w:sz w:val="24"/>
          <w:szCs w:val="24"/>
          <w:lang w:val="uk-UA"/>
        </w:rPr>
        <w:t>з 01.0</w:t>
      </w:r>
      <w:r w:rsidR="009319A6">
        <w:rPr>
          <w:rFonts w:ascii="Times New Roman" w:hAnsi="Times New Roman"/>
          <w:sz w:val="24"/>
          <w:szCs w:val="24"/>
          <w:lang w:val="uk-UA"/>
        </w:rPr>
        <w:t>7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.2026 </w:t>
      </w:r>
      <w:r>
        <w:rPr>
          <w:rFonts w:ascii="Times New Roman" w:hAnsi="Times New Roman"/>
          <w:sz w:val="24"/>
          <w:szCs w:val="24"/>
          <w:lang w:val="uk-UA"/>
        </w:rPr>
        <w:t>право оперативного управління</w:t>
      </w:r>
      <w:r w:rsidRPr="00C648D7">
        <w:rPr>
          <w:rFonts w:ascii="Times New Roman" w:hAnsi="Times New Roman"/>
          <w:sz w:val="24"/>
          <w:szCs w:val="24"/>
          <w:lang w:val="uk-UA"/>
        </w:rPr>
        <w:t xml:space="preserve"> на майно комунальної власності, що передане </w:t>
      </w:r>
      <w:r>
        <w:rPr>
          <w:rFonts w:ascii="Times New Roman" w:hAnsi="Times New Roman"/>
          <w:sz w:val="24"/>
          <w:szCs w:val="24"/>
          <w:lang w:val="uk-UA"/>
        </w:rPr>
        <w:t>Територіальному центру соціального обслуговування</w:t>
      </w:r>
      <w:r w:rsidR="00367574">
        <w:rPr>
          <w:rFonts w:ascii="Times New Roman" w:hAnsi="Times New Roman"/>
          <w:sz w:val="24"/>
          <w:szCs w:val="24"/>
          <w:lang w:val="uk-UA"/>
        </w:rPr>
        <w:t xml:space="preserve"> (надання соціальних послуг)</w:t>
      </w:r>
      <w:r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Pr="00C648D7">
        <w:rPr>
          <w:rFonts w:ascii="Times New Roman" w:hAnsi="Times New Roman"/>
          <w:sz w:val="24"/>
          <w:szCs w:val="24"/>
          <w:lang w:val="uk-UA"/>
        </w:rPr>
        <w:t xml:space="preserve"> відповідно</w:t>
      </w:r>
      <w:r>
        <w:rPr>
          <w:rFonts w:ascii="Times New Roman" w:hAnsi="Times New Roman"/>
          <w:sz w:val="24"/>
          <w:szCs w:val="24"/>
          <w:lang w:val="uk-UA"/>
        </w:rPr>
        <w:t xml:space="preserve"> до Договору на право оперативного управління майном, яке належить до комунальної власності </w:t>
      </w:r>
      <w:r w:rsidR="00101EB9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="00D67AD5">
        <w:rPr>
          <w:rFonts w:ascii="Times New Roman" w:hAnsi="Times New Roman"/>
          <w:sz w:val="24"/>
          <w:szCs w:val="24"/>
          <w:lang w:val="uk-UA"/>
        </w:rPr>
        <w:t>,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 від 30.03.2021.</w:t>
      </w:r>
    </w:p>
    <w:p w:rsidR="00DE1BE4" w:rsidRDefault="00C648D7" w:rsidP="00E80F3C">
      <w:pPr>
        <w:pStyle w:val="ad"/>
        <w:numPr>
          <w:ilvl w:val="0"/>
          <w:numId w:val="21"/>
        </w:numPr>
        <w:spacing w:before="120"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01E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79B5" w:rsidRPr="00101EB9">
        <w:rPr>
          <w:rFonts w:ascii="Times New Roman" w:hAnsi="Times New Roman"/>
          <w:sz w:val="24"/>
          <w:szCs w:val="24"/>
          <w:lang w:val="uk-UA"/>
        </w:rPr>
        <w:t xml:space="preserve">Передати в безоплатне володіння та користування </w:t>
      </w:r>
      <w:r w:rsidR="00101EB9">
        <w:rPr>
          <w:rFonts w:ascii="Times New Roman" w:hAnsi="Times New Roman"/>
          <w:sz w:val="24"/>
          <w:szCs w:val="24"/>
          <w:lang w:val="uk-UA"/>
        </w:rPr>
        <w:t>Територіальному центру соціального обслуговування</w:t>
      </w:r>
      <w:r w:rsidR="00367574">
        <w:rPr>
          <w:rFonts w:ascii="Times New Roman" w:hAnsi="Times New Roman"/>
          <w:sz w:val="24"/>
          <w:szCs w:val="24"/>
          <w:lang w:val="uk-UA"/>
        </w:rPr>
        <w:t xml:space="preserve"> (надання соціальних послуг)</w:t>
      </w:r>
      <w:r w:rsidR="00101EB9">
        <w:rPr>
          <w:rFonts w:ascii="Times New Roman" w:hAnsi="Times New Roman"/>
          <w:sz w:val="24"/>
          <w:szCs w:val="24"/>
          <w:lang w:val="uk-UA"/>
        </w:rPr>
        <w:t xml:space="preserve"> Роменської міської ради</w:t>
      </w:r>
      <w:r w:rsidR="00101EB9" w:rsidRPr="00C648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EB9">
        <w:rPr>
          <w:rFonts w:ascii="Times New Roman" w:hAnsi="Times New Roman"/>
          <w:sz w:val="24"/>
          <w:szCs w:val="24"/>
          <w:lang w:val="uk-UA"/>
        </w:rPr>
        <w:t>(код ЄДРПОУ 26439905)</w:t>
      </w:r>
      <w:r w:rsidR="00F231E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01EB9" w:rsidRPr="004F6B60">
        <w:rPr>
          <w:rFonts w:ascii="Times New Roman" w:hAnsi="Times New Roman"/>
          <w:sz w:val="24"/>
          <w:szCs w:val="24"/>
          <w:lang w:val="uk-UA"/>
        </w:rPr>
        <w:t xml:space="preserve">(далі – </w:t>
      </w:r>
      <w:proofErr w:type="spellStart"/>
      <w:r w:rsidR="00101EB9" w:rsidRPr="004F6B60">
        <w:rPr>
          <w:rFonts w:ascii="Times New Roman" w:hAnsi="Times New Roman"/>
          <w:sz w:val="24"/>
          <w:szCs w:val="24"/>
          <w:lang w:val="uk-UA"/>
        </w:rPr>
        <w:t>Узуфруктарій</w:t>
      </w:r>
      <w:proofErr w:type="spellEnd"/>
      <w:r w:rsidR="00101EB9" w:rsidRPr="004F6B60">
        <w:rPr>
          <w:rFonts w:ascii="Times New Roman" w:hAnsi="Times New Roman"/>
          <w:sz w:val="24"/>
          <w:szCs w:val="24"/>
          <w:lang w:val="uk-UA"/>
        </w:rPr>
        <w:t>) майно</w:t>
      </w:r>
      <w:r w:rsidR="00101EB9">
        <w:rPr>
          <w:rFonts w:ascii="Times New Roman" w:hAnsi="Times New Roman"/>
          <w:sz w:val="24"/>
          <w:szCs w:val="24"/>
          <w:lang w:val="uk-UA"/>
        </w:rPr>
        <w:t>, яке перебуває на його балансі, а саме:</w:t>
      </w:r>
    </w:p>
    <w:p w:rsidR="00387CB0" w:rsidRDefault="00387CB0" w:rsidP="00E80F3C">
      <w:pPr>
        <w:spacing w:before="120"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87CB0" w:rsidRPr="00387CB0" w:rsidRDefault="00387CB0" w:rsidP="00E80F3C">
      <w:pPr>
        <w:spacing w:before="120"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551"/>
        <w:gridCol w:w="1418"/>
        <w:gridCol w:w="1276"/>
        <w:gridCol w:w="1275"/>
      </w:tblGrid>
      <w:tr w:rsidR="00B272C8" w:rsidRPr="00D11348" w:rsidTr="00854BF6">
        <w:tc>
          <w:tcPr>
            <w:tcW w:w="421" w:type="dxa"/>
            <w:vAlign w:val="center"/>
          </w:tcPr>
          <w:p w:rsidR="00B272C8" w:rsidRPr="00D11348" w:rsidRDefault="00B272C8" w:rsidP="00D67AD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№ з/п</w:t>
            </w:r>
          </w:p>
        </w:tc>
        <w:tc>
          <w:tcPr>
            <w:tcW w:w="2693" w:type="dxa"/>
            <w:vAlign w:val="center"/>
          </w:tcPr>
          <w:p w:rsidR="00B272C8" w:rsidRPr="00D11348" w:rsidRDefault="00B272C8" w:rsidP="00D67A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майна</w:t>
            </w:r>
          </w:p>
        </w:tc>
        <w:tc>
          <w:tcPr>
            <w:tcW w:w="2551" w:type="dxa"/>
            <w:vAlign w:val="center"/>
          </w:tcPr>
          <w:p w:rsidR="00B272C8" w:rsidRPr="00D11348" w:rsidRDefault="00B272C8" w:rsidP="00D67A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418" w:type="dxa"/>
            <w:vAlign w:val="center"/>
          </w:tcPr>
          <w:p w:rsidR="00B272C8" w:rsidRPr="00D11348" w:rsidRDefault="00B272C8" w:rsidP="00D67AD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Інвентар-ний номер</w:t>
            </w:r>
          </w:p>
        </w:tc>
        <w:tc>
          <w:tcPr>
            <w:tcW w:w="1276" w:type="dxa"/>
            <w:vAlign w:val="center"/>
          </w:tcPr>
          <w:p w:rsidR="00B272C8" w:rsidRPr="00D11348" w:rsidRDefault="00B272C8" w:rsidP="00D67AD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Первісна вартість, грн.</w:t>
            </w:r>
          </w:p>
        </w:tc>
        <w:tc>
          <w:tcPr>
            <w:tcW w:w="1275" w:type="dxa"/>
            <w:vAlign w:val="center"/>
          </w:tcPr>
          <w:p w:rsidR="00B272C8" w:rsidRPr="00D11348" w:rsidRDefault="00B272C8" w:rsidP="00D67AD5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Залишкова вартість, грн.</w:t>
            </w:r>
          </w:p>
        </w:tc>
      </w:tr>
      <w:tr w:rsidR="00DE1BE4" w:rsidRPr="00D11348" w:rsidTr="00854BF6">
        <w:tc>
          <w:tcPr>
            <w:tcW w:w="421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E1BE4" w:rsidRPr="00DE1BE4" w:rsidRDefault="00DE1BE4" w:rsidP="00DE1BE4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1BE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B272C8" w:rsidRPr="00D11348" w:rsidTr="00854BF6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8" w:rsidRPr="00D11348" w:rsidRDefault="00B272C8" w:rsidP="00C90AB6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6F3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Будівля, Нежитлова будівля (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Биткомбінат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загальною площею 82,7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FB7E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(реєстраційний номер 2904578259060)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F2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Сумська обл., Роменський р-н,</w:t>
            </w: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  <w:r w:rsidR="005E20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Великі Бубни,    вул. Новоселівка,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101310001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19200,00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B272C8" w:rsidRPr="00D11348" w:rsidTr="00854BF6"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:rsidR="00B272C8" w:rsidRPr="00D11348" w:rsidRDefault="00B272C8" w:rsidP="00C90AB6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Мобільний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вагон -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будинок</w:t>
            </w:r>
            <w:proofErr w:type="spellEnd"/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Сумська обл., Роменський р-н.,                        с.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4-й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. Центральної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11348" w:rsidRDefault="00D1134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101310002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197500,00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139972,20</w:t>
            </w:r>
          </w:p>
        </w:tc>
      </w:tr>
      <w:tr w:rsidR="00B272C8" w:rsidRPr="00D11348" w:rsidTr="00854BF6">
        <w:tc>
          <w:tcPr>
            <w:tcW w:w="421" w:type="dxa"/>
            <w:vAlign w:val="center"/>
          </w:tcPr>
          <w:p w:rsidR="00B272C8" w:rsidRPr="00D11348" w:rsidRDefault="00B272C8" w:rsidP="00C90AB6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vAlign w:val="center"/>
          </w:tcPr>
          <w:p w:rsidR="00B272C8" w:rsidRPr="00D11348" w:rsidRDefault="00B272C8" w:rsidP="00D67AD5">
            <w:pPr>
              <w:spacing w:line="271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Кондиціонер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перукарня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Сумська обл., Роменський р-н.,                        с.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4-й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. Центральної</w:t>
            </w:r>
          </w:p>
        </w:tc>
        <w:tc>
          <w:tcPr>
            <w:tcW w:w="1418" w:type="dxa"/>
            <w:vAlign w:val="center"/>
          </w:tcPr>
          <w:p w:rsidR="00D11348" w:rsidRDefault="00D1134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101480014</w:t>
            </w:r>
          </w:p>
        </w:tc>
        <w:tc>
          <w:tcPr>
            <w:tcW w:w="1276" w:type="dxa"/>
            <w:vAlign w:val="center"/>
          </w:tcPr>
          <w:p w:rsidR="0048308B" w:rsidRDefault="0048308B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348">
              <w:rPr>
                <w:rFonts w:ascii="Times New Roman" w:hAnsi="Times New Roman"/>
                <w:sz w:val="24"/>
                <w:szCs w:val="24"/>
              </w:rPr>
              <w:t>8957,00</w:t>
            </w:r>
          </w:p>
        </w:tc>
        <w:tc>
          <w:tcPr>
            <w:tcW w:w="1275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  <w:tr w:rsidR="00B272C8" w:rsidRPr="00D11348" w:rsidTr="00854BF6">
        <w:tc>
          <w:tcPr>
            <w:tcW w:w="421" w:type="dxa"/>
            <w:vAlign w:val="center"/>
          </w:tcPr>
          <w:p w:rsidR="00B272C8" w:rsidRPr="00D11348" w:rsidRDefault="00B272C8" w:rsidP="00C90AB6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vAlign w:val="center"/>
          </w:tcPr>
          <w:p w:rsidR="00B272C8" w:rsidRPr="00D11348" w:rsidRDefault="00B272C8" w:rsidP="00D67AD5">
            <w:pPr>
              <w:spacing w:line="271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перукаря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</w:rPr>
              <w:t>дзеркалом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Сумська обл., Роменський р-н.,                        с.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Пустовійтівка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4-й </w:t>
            </w:r>
            <w:proofErr w:type="spellStart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пров</w:t>
            </w:r>
            <w:proofErr w:type="spellEnd"/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. Центральної</w:t>
            </w:r>
          </w:p>
        </w:tc>
        <w:tc>
          <w:tcPr>
            <w:tcW w:w="1418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101480015</w:t>
            </w:r>
          </w:p>
        </w:tc>
        <w:tc>
          <w:tcPr>
            <w:tcW w:w="1276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348">
              <w:rPr>
                <w:rFonts w:ascii="Times New Roman" w:hAnsi="Times New Roman"/>
                <w:sz w:val="24"/>
                <w:szCs w:val="24"/>
              </w:rPr>
              <w:t>8456,00</w:t>
            </w:r>
          </w:p>
        </w:tc>
        <w:tc>
          <w:tcPr>
            <w:tcW w:w="1275" w:type="dxa"/>
            <w:vAlign w:val="center"/>
          </w:tcPr>
          <w:p w:rsidR="00B272C8" w:rsidRPr="00D11348" w:rsidRDefault="00B272C8" w:rsidP="00D67AD5">
            <w:pPr>
              <w:spacing w:line="271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11348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:rsidR="00623099" w:rsidRPr="00280095" w:rsidRDefault="00623099" w:rsidP="00854BF6">
      <w:pPr>
        <w:pStyle w:val="ad"/>
        <w:numPr>
          <w:ilvl w:val="0"/>
          <w:numId w:val="21"/>
        </w:numPr>
        <w:spacing w:before="240"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11348">
        <w:rPr>
          <w:rFonts w:ascii="Times New Roman" w:hAnsi="Times New Roman"/>
          <w:sz w:val="24"/>
          <w:szCs w:val="24"/>
          <w:lang w:val="uk-UA"/>
        </w:rPr>
        <w:t xml:space="preserve">Встановити, що 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майно, вказане </w:t>
      </w:r>
      <w:r w:rsidR="00854BF6">
        <w:rPr>
          <w:rFonts w:ascii="Times New Roman" w:hAnsi="Times New Roman"/>
          <w:sz w:val="24"/>
          <w:szCs w:val="24"/>
          <w:lang w:val="uk-UA"/>
        </w:rPr>
        <w:t>в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 пункті </w:t>
      </w:r>
      <w:r w:rsidR="00BE7BB0">
        <w:rPr>
          <w:rFonts w:ascii="Times New Roman" w:hAnsi="Times New Roman"/>
          <w:sz w:val="24"/>
          <w:szCs w:val="24"/>
          <w:lang w:val="uk-UA"/>
        </w:rPr>
        <w:t>3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 цього рішення, </w:t>
      </w:r>
      <w:r w:rsidRPr="00D11348">
        <w:rPr>
          <w:rFonts w:ascii="Times New Roman" w:hAnsi="Times New Roman"/>
          <w:sz w:val="24"/>
          <w:szCs w:val="24"/>
          <w:lang w:val="uk-UA"/>
        </w:rPr>
        <w:t xml:space="preserve">передається 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>Територіальному центру соціального обслуговування</w:t>
      </w:r>
      <w:r w:rsidR="006959B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59B8" w:rsidRPr="006959B8">
        <w:rPr>
          <w:rFonts w:ascii="Times New Roman" w:hAnsi="Times New Roman"/>
          <w:sz w:val="24"/>
          <w:szCs w:val="24"/>
          <w:lang w:val="uk-UA"/>
        </w:rPr>
        <w:t>(надання соціальних послуг)</w:t>
      </w:r>
      <w:r w:rsidR="00B272C8" w:rsidRPr="00D11348">
        <w:rPr>
          <w:rFonts w:ascii="Times New Roman" w:hAnsi="Times New Roman"/>
          <w:sz w:val="24"/>
          <w:szCs w:val="24"/>
          <w:lang w:val="uk-UA"/>
        </w:rPr>
        <w:t xml:space="preserve"> Роменської </w:t>
      </w:r>
      <w:r w:rsidR="00B272C8" w:rsidRPr="00280095">
        <w:rPr>
          <w:rFonts w:ascii="Times New Roman" w:hAnsi="Times New Roman"/>
          <w:sz w:val="24"/>
          <w:szCs w:val="24"/>
          <w:lang w:val="uk-UA"/>
        </w:rPr>
        <w:t>міської ради</w:t>
      </w:r>
      <w:r w:rsidRPr="00280095">
        <w:rPr>
          <w:rFonts w:ascii="Times New Roman" w:hAnsi="Times New Roman"/>
          <w:sz w:val="24"/>
          <w:szCs w:val="24"/>
          <w:lang w:val="uk-UA"/>
        </w:rPr>
        <w:t xml:space="preserve"> на праві </w:t>
      </w:r>
      <w:proofErr w:type="spellStart"/>
      <w:r w:rsidRPr="00280095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280095">
        <w:rPr>
          <w:rFonts w:ascii="Times New Roman" w:hAnsi="Times New Roman"/>
          <w:sz w:val="24"/>
          <w:szCs w:val="24"/>
          <w:lang w:val="uk-UA"/>
        </w:rPr>
        <w:t>, що діє безстроково.</w:t>
      </w:r>
    </w:p>
    <w:p w:rsidR="00623099" w:rsidRPr="00280095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80095">
        <w:rPr>
          <w:rFonts w:ascii="Times New Roman" w:hAnsi="Times New Roman"/>
          <w:sz w:val="24"/>
          <w:szCs w:val="24"/>
          <w:lang w:val="uk-UA"/>
        </w:rPr>
        <w:t>Визначити</w:t>
      </w:r>
      <w:r w:rsidR="00854BF6" w:rsidRPr="00280095">
        <w:rPr>
          <w:rFonts w:ascii="Times New Roman" w:hAnsi="Times New Roman"/>
          <w:sz w:val="24"/>
          <w:szCs w:val="24"/>
          <w:lang w:val="uk-UA"/>
        </w:rPr>
        <w:t>, що</w:t>
      </w:r>
      <w:r w:rsidRPr="00280095">
        <w:rPr>
          <w:rFonts w:ascii="Times New Roman" w:hAnsi="Times New Roman"/>
          <w:sz w:val="24"/>
          <w:szCs w:val="24"/>
          <w:lang w:val="uk-UA"/>
        </w:rPr>
        <w:t xml:space="preserve"> цільов</w:t>
      </w:r>
      <w:r w:rsidR="00854BF6" w:rsidRPr="00280095">
        <w:rPr>
          <w:rFonts w:ascii="Times New Roman" w:hAnsi="Times New Roman"/>
          <w:sz w:val="24"/>
          <w:szCs w:val="24"/>
          <w:lang w:val="uk-UA"/>
        </w:rPr>
        <w:t>им</w:t>
      </w:r>
      <w:r w:rsidRPr="00280095">
        <w:rPr>
          <w:rFonts w:ascii="Times New Roman" w:hAnsi="Times New Roman"/>
          <w:sz w:val="24"/>
          <w:szCs w:val="24"/>
          <w:lang w:val="uk-UA"/>
        </w:rPr>
        <w:t xml:space="preserve"> призначення</w:t>
      </w:r>
      <w:r w:rsidR="00854BF6" w:rsidRPr="00280095">
        <w:rPr>
          <w:rFonts w:ascii="Times New Roman" w:hAnsi="Times New Roman"/>
          <w:sz w:val="24"/>
          <w:szCs w:val="24"/>
          <w:lang w:val="uk-UA"/>
        </w:rPr>
        <w:t>м</w:t>
      </w:r>
      <w:r w:rsidRPr="00280095">
        <w:rPr>
          <w:rFonts w:ascii="Times New Roman" w:hAnsi="Times New Roman"/>
          <w:sz w:val="24"/>
          <w:szCs w:val="24"/>
          <w:lang w:val="uk-UA"/>
        </w:rPr>
        <w:t xml:space="preserve"> використання </w:t>
      </w:r>
      <w:r w:rsidR="00D11348" w:rsidRPr="00280095">
        <w:rPr>
          <w:rFonts w:ascii="Times New Roman" w:hAnsi="Times New Roman"/>
          <w:sz w:val="24"/>
          <w:szCs w:val="24"/>
          <w:lang w:val="uk-UA"/>
        </w:rPr>
        <w:t xml:space="preserve">цього </w:t>
      </w:r>
      <w:r w:rsidR="00B272C8" w:rsidRPr="00280095">
        <w:rPr>
          <w:rFonts w:ascii="Times New Roman" w:hAnsi="Times New Roman"/>
          <w:sz w:val="24"/>
          <w:szCs w:val="24"/>
          <w:lang w:val="uk-UA"/>
        </w:rPr>
        <w:t>майна</w:t>
      </w:r>
      <w:r w:rsidR="00854BF6" w:rsidRPr="00280095">
        <w:rPr>
          <w:rFonts w:ascii="Times New Roman" w:hAnsi="Times New Roman"/>
          <w:sz w:val="24"/>
          <w:szCs w:val="24"/>
          <w:lang w:val="uk-UA"/>
        </w:rPr>
        <w:t xml:space="preserve"> є </w:t>
      </w:r>
      <w:r w:rsidR="00B272C8" w:rsidRPr="00280095">
        <w:rPr>
          <w:rFonts w:ascii="Times New Roman" w:hAnsi="Times New Roman"/>
          <w:sz w:val="24"/>
          <w:szCs w:val="24"/>
          <w:lang w:val="uk-UA"/>
        </w:rPr>
        <w:t>забезпечення надання соціальних послуг.</w:t>
      </w:r>
    </w:p>
    <w:p w:rsidR="00623099" w:rsidRPr="00D11348" w:rsidRDefault="00623099" w:rsidP="004F6B60">
      <w:pPr>
        <w:pStyle w:val="ad"/>
        <w:numPr>
          <w:ilvl w:val="0"/>
          <w:numId w:val="21"/>
        </w:numPr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Узуфруктарію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такі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умови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володіння</w:t>
      </w:r>
      <w:proofErr w:type="spellEnd"/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та 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комунальним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, вказаним у пункті </w:t>
      </w:r>
      <w:r w:rsidR="00BE7BB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3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цього рішення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використову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вати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згідно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цільовим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утримувати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належному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стані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за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рахунок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проводити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поточний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ремонт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нес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ти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витрати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пов’язані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утриманням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користуванням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обслуговуванням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відчужувати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передане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йому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праві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передавати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довірчу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власність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довірче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управління</w:t>
      </w:r>
      <w:proofErr w:type="spellEnd"/>
      <w:r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 xml:space="preserve">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вносити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до статутного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капіталу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юридичних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осіб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r w:rsidR="005240E5" w:rsidRPr="00D1134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uk-UA"/>
        </w:rPr>
        <w:t>не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виділяти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спільної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діяльності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також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не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вчиняти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такого майна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інш</w:t>
      </w:r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ді</w:t>
      </w:r>
      <w:proofErr w:type="spellEnd"/>
      <w:r w:rsidR="005240E5"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й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наслідком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яких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може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бути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відчуження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зміна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цільового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23099" w:rsidRPr="00D11348" w:rsidRDefault="00623099" w:rsidP="004F6B60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вживати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заходів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відшкодування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шкоди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завданої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власником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або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третьою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особою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 xml:space="preserve">комунальному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майну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.</w:t>
      </w:r>
    </w:p>
    <w:p w:rsidR="00623099" w:rsidRPr="00D11348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Встановити, що у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зуфрукт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припиняється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разі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результаті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його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ліквідації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існування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погіршення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стану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щодо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якого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внаслідок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чого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воно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стає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непридатним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для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використання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призначенням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D11348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прийняття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 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Роменською</w:t>
      </w:r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міською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радою 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рішення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про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майна,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встановленого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безстроково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поєднання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в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одній</w:t>
      </w:r>
      <w:proofErr w:type="spellEnd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11348">
        <w:rPr>
          <w:rFonts w:ascii="Times New Roman" w:hAnsi="Times New Roman"/>
          <w:sz w:val="24"/>
          <w:szCs w:val="24"/>
          <w:bdr w:val="none" w:sz="0" w:space="0" w:color="auto" w:frame="1"/>
        </w:rPr>
        <w:t>о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собі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особи 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У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зуфруктарія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і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власника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</w:pP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припинення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узуфрукта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комунального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майна за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рішенням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суду</w:t>
      </w:r>
      <w:r w:rsidRPr="004F6B60">
        <w:rPr>
          <w:rFonts w:ascii="Times New Roman" w:hAnsi="Times New Roman"/>
          <w:sz w:val="24"/>
          <w:szCs w:val="24"/>
          <w:bdr w:val="none" w:sz="0" w:space="0" w:color="auto" w:frame="1"/>
          <w:lang w:val="uk-UA"/>
        </w:rPr>
        <w:t>;</w:t>
      </w:r>
    </w:p>
    <w:p w:rsidR="00623099" w:rsidRPr="004F6B60" w:rsidRDefault="00623099" w:rsidP="004F6B60">
      <w:pPr>
        <w:tabs>
          <w:tab w:val="left" w:pos="567"/>
        </w:tabs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в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інших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випадках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встановлених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чинним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законодавством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України</w:t>
      </w:r>
      <w:proofErr w:type="spellEnd"/>
      <w:r w:rsidRPr="004F6B60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Узуфруктарію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здійснити державну реєстрацію права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</w:t>
      </w:r>
      <w:r w:rsidR="00854BF6">
        <w:rPr>
          <w:rFonts w:ascii="Times New Roman" w:hAnsi="Times New Roman"/>
          <w:sz w:val="24"/>
          <w:szCs w:val="24"/>
          <w:lang w:val="uk-UA"/>
        </w:rPr>
        <w:t>–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0F2">
        <w:rPr>
          <w:rFonts w:ascii="Times New Roman" w:hAnsi="Times New Roman"/>
          <w:sz w:val="24"/>
          <w:szCs w:val="24"/>
          <w:lang w:val="uk-UA"/>
        </w:rPr>
        <w:t>б</w:t>
      </w:r>
      <w:r w:rsidR="00D11348" w:rsidRPr="00D11348">
        <w:rPr>
          <w:rFonts w:ascii="Times New Roman" w:hAnsi="Times New Roman"/>
          <w:sz w:val="24"/>
          <w:szCs w:val="24"/>
          <w:lang w:val="uk-UA"/>
        </w:rPr>
        <w:t>удівл</w:t>
      </w:r>
      <w:r w:rsidR="005E20F2">
        <w:rPr>
          <w:rFonts w:ascii="Times New Roman" w:hAnsi="Times New Roman"/>
          <w:sz w:val="24"/>
          <w:szCs w:val="24"/>
          <w:lang w:val="uk-UA"/>
        </w:rPr>
        <w:t>і</w:t>
      </w:r>
      <w:r w:rsidR="00D11348" w:rsidRPr="00D11348">
        <w:rPr>
          <w:rFonts w:ascii="Times New Roman" w:hAnsi="Times New Roman"/>
          <w:sz w:val="24"/>
          <w:szCs w:val="24"/>
          <w:lang w:val="uk-UA"/>
        </w:rPr>
        <w:t>, Нежитлов</w:t>
      </w:r>
      <w:r w:rsidR="005E20F2">
        <w:rPr>
          <w:rFonts w:ascii="Times New Roman" w:hAnsi="Times New Roman"/>
          <w:sz w:val="24"/>
          <w:szCs w:val="24"/>
          <w:lang w:val="uk-UA"/>
        </w:rPr>
        <w:t>ої</w:t>
      </w:r>
      <w:r w:rsidR="00D11348" w:rsidRPr="00D11348">
        <w:rPr>
          <w:rFonts w:ascii="Times New Roman" w:hAnsi="Times New Roman"/>
          <w:sz w:val="24"/>
          <w:szCs w:val="24"/>
          <w:lang w:val="uk-UA"/>
        </w:rPr>
        <w:t xml:space="preserve"> будівл</w:t>
      </w:r>
      <w:r w:rsidR="005E20F2">
        <w:rPr>
          <w:rFonts w:ascii="Times New Roman" w:hAnsi="Times New Roman"/>
          <w:sz w:val="24"/>
          <w:szCs w:val="24"/>
          <w:lang w:val="uk-UA"/>
        </w:rPr>
        <w:t>і</w:t>
      </w:r>
      <w:r w:rsidR="00D11348" w:rsidRPr="00D11348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D11348" w:rsidRPr="00D11348">
        <w:rPr>
          <w:rFonts w:ascii="Times New Roman" w:hAnsi="Times New Roman"/>
          <w:sz w:val="24"/>
          <w:szCs w:val="24"/>
          <w:lang w:val="uk-UA"/>
        </w:rPr>
        <w:t>Биткомбінат</w:t>
      </w:r>
      <w:proofErr w:type="spellEnd"/>
      <w:r w:rsidR="00D11348" w:rsidRPr="00D11348">
        <w:rPr>
          <w:rFonts w:ascii="Times New Roman" w:hAnsi="Times New Roman"/>
          <w:sz w:val="24"/>
          <w:szCs w:val="24"/>
          <w:lang w:val="uk-UA"/>
        </w:rPr>
        <w:t xml:space="preserve">)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(реєстраційний номер </w:t>
      </w:r>
      <w:r w:rsidR="005E20F2" w:rsidRPr="00D11348">
        <w:rPr>
          <w:rFonts w:ascii="Times New Roman" w:hAnsi="Times New Roman"/>
          <w:sz w:val="24"/>
          <w:szCs w:val="24"/>
          <w:lang w:val="uk-UA"/>
        </w:rPr>
        <w:t>2904578259060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) загальною площею </w:t>
      </w:r>
      <w:r w:rsidR="005E20F2">
        <w:rPr>
          <w:rFonts w:ascii="Times New Roman" w:hAnsi="Times New Roman"/>
          <w:sz w:val="24"/>
          <w:szCs w:val="24"/>
          <w:lang w:val="uk-UA"/>
        </w:rPr>
        <w:t>82,7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кв.м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, розташованої за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: Сумська обл., Роменський р-н, </w:t>
      </w:r>
      <w:r w:rsidR="009D15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20F2" w:rsidRPr="00D11348">
        <w:rPr>
          <w:rFonts w:ascii="Times New Roman" w:hAnsi="Times New Roman"/>
          <w:sz w:val="24"/>
          <w:szCs w:val="24"/>
          <w:lang w:val="uk-UA"/>
        </w:rPr>
        <w:t>с. Великі Бубни, вул. Новоселівка, 23</w:t>
      </w:r>
      <w:r w:rsidRPr="004F6B60">
        <w:rPr>
          <w:rFonts w:ascii="Times New Roman" w:hAnsi="Times New Roman"/>
          <w:sz w:val="24"/>
          <w:szCs w:val="24"/>
          <w:lang w:val="uk-UA"/>
        </w:rPr>
        <w:t>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 xml:space="preserve">Доручити Управлінню економічного розвитку Роменської міської ради в особі начальника Управління Юлії Білоус укласти </w:t>
      </w:r>
      <w:r w:rsidR="005E20F2">
        <w:rPr>
          <w:rFonts w:ascii="Times New Roman" w:hAnsi="Times New Roman"/>
          <w:sz w:val="24"/>
          <w:szCs w:val="24"/>
          <w:lang w:val="uk-UA"/>
        </w:rPr>
        <w:t xml:space="preserve">з Територіальним центром соціального обслуговування </w:t>
      </w:r>
      <w:r w:rsidR="001F5412">
        <w:rPr>
          <w:rFonts w:ascii="Times New Roman" w:hAnsi="Times New Roman"/>
          <w:sz w:val="24"/>
          <w:szCs w:val="24"/>
          <w:lang w:val="uk-UA"/>
        </w:rPr>
        <w:t xml:space="preserve">(надання соціальних послуг) </w:t>
      </w:r>
      <w:r w:rsidR="005E20F2">
        <w:rPr>
          <w:rFonts w:ascii="Times New Roman" w:hAnsi="Times New Roman"/>
          <w:sz w:val="24"/>
          <w:szCs w:val="24"/>
          <w:lang w:val="uk-UA"/>
        </w:rPr>
        <w:t>Роменської міської ради</w:t>
      </w:r>
      <w:r w:rsidR="005E20F2" w:rsidRPr="00C648D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договір </w:t>
      </w:r>
      <w:proofErr w:type="spellStart"/>
      <w:r w:rsidRPr="004F6B60">
        <w:rPr>
          <w:rFonts w:ascii="Times New Roman" w:hAnsi="Times New Roman"/>
          <w:sz w:val="24"/>
          <w:szCs w:val="24"/>
          <w:lang w:val="uk-UA"/>
        </w:rPr>
        <w:t>узуфрукт</w:t>
      </w:r>
      <w:r w:rsidR="003A6369">
        <w:rPr>
          <w:rFonts w:ascii="Times New Roman" w:hAnsi="Times New Roman"/>
          <w:sz w:val="24"/>
          <w:szCs w:val="24"/>
          <w:lang w:val="uk-UA"/>
        </w:rPr>
        <w:t>а</w:t>
      </w:r>
      <w:proofErr w:type="spellEnd"/>
      <w:r w:rsidRPr="004F6B60">
        <w:rPr>
          <w:rFonts w:ascii="Times New Roman" w:hAnsi="Times New Roman"/>
          <w:sz w:val="24"/>
          <w:szCs w:val="24"/>
          <w:lang w:val="uk-UA"/>
        </w:rPr>
        <w:t xml:space="preserve"> комунального майна Роменської міської територіальної громади, вказаного у  пункті </w:t>
      </w:r>
      <w:r w:rsidR="00BE7BB0">
        <w:rPr>
          <w:rFonts w:ascii="Times New Roman" w:hAnsi="Times New Roman"/>
          <w:sz w:val="24"/>
          <w:szCs w:val="24"/>
          <w:lang w:val="uk-UA"/>
        </w:rPr>
        <w:t>3</w:t>
      </w:r>
      <w:r w:rsidRPr="004F6B60">
        <w:rPr>
          <w:rFonts w:ascii="Times New Roman" w:hAnsi="Times New Roman"/>
          <w:sz w:val="24"/>
          <w:szCs w:val="24"/>
          <w:lang w:val="uk-UA"/>
        </w:rPr>
        <w:t xml:space="preserve"> цього рішення.</w:t>
      </w:r>
    </w:p>
    <w:p w:rsidR="00623099" w:rsidRPr="004F6B60" w:rsidRDefault="00623099" w:rsidP="004F6B60">
      <w:pPr>
        <w:pStyle w:val="ad"/>
        <w:numPr>
          <w:ilvl w:val="0"/>
          <w:numId w:val="21"/>
        </w:numPr>
        <w:tabs>
          <w:tab w:val="left" w:pos="426"/>
          <w:tab w:val="left" w:pos="567"/>
        </w:tabs>
        <w:spacing w:after="120" w:line="271" w:lineRule="auto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F6B6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:rsidR="008B0C45" w:rsidRDefault="008B0C45" w:rsidP="005E20F2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5E20F2" w:rsidRPr="000931E1" w:rsidRDefault="005E20F2" w:rsidP="005E20F2">
      <w:pPr>
        <w:tabs>
          <w:tab w:val="left" w:pos="0"/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A66643" w:rsidRDefault="00A66643" w:rsidP="00A6664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Міський голова                                                                                         Олег СТОГНІЙ</w:t>
      </w:r>
    </w:p>
    <w:p w:rsidR="00A66643" w:rsidRDefault="00A66643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Default="00623099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240E5" w:rsidRDefault="005240E5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D15E0" w:rsidRDefault="009D15E0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E20F2" w:rsidRDefault="005E20F2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961937" w:rsidRPr="009819CE" w:rsidRDefault="00961937" w:rsidP="00A66643">
      <w:pPr>
        <w:spacing w:after="0" w:line="271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F46CE">
        <w:rPr>
          <w:rFonts w:ascii="Times New Roman" w:hAnsi="Times New Roman"/>
          <w:b/>
          <w:sz w:val="24"/>
          <w:szCs w:val="24"/>
        </w:rPr>
        <w:lastRenderedPageBreak/>
        <w:t>Пояснювальна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записка до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проєкту</w:t>
      </w:r>
      <w:proofErr w:type="spellEnd"/>
      <w:r w:rsidRPr="004F46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46CE">
        <w:rPr>
          <w:rFonts w:ascii="Times New Roman" w:hAnsi="Times New Roman"/>
          <w:b/>
          <w:sz w:val="24"/>
          <w:szCs w:val="24"/>
        </w:rPr>
        <w:t>рішення</w:t>
      </w:r>
      <w:proofErr w:type="spellEnd"/>
    </w:p>
    <w:p w:rsidR="00623099" w:rsidRPr="004F46CE" w:rsidRDefault="00623099" w:rsidP="005240E5">
      <w:pPr>
        <w:pStyle w:val="ac"/>
        <w:spacing w:line="271" w:lineRule="auto"/>
        <w:jc w:val="center"/>
        <w:rPr>
          <w:rFonts w:ascii="Times New Roman" w:hAnsi="Times New Roman"/>
          <w:b/>
          <w:sz w:val="24"/>
          <w:szCs w:val="24"/>
        </w:rPr>
      </w:pPr>
      <w:r w:rsidRPr="004F46CE">
        <w:rPr>
          <w:rFonts w:ascii="Times New Roman" w:hAnsi="Times New Roman"/>
          <w:b/>
          <w:sz w:val="24"/>
          <w:szCs w:val="24"/>
        </w:rPr>
        <w:t>«</w:t>
      </w:r>
      <w:r w:rsidR="00961937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="00961937">
        <w:rPr>
          <w:rFonts w:ascii="Times New Roman" w:hAnsi="Times New Roman"/>
          <w:b/>
          <w:sz w:val="24"/>
          <w:szCs w:val="24"/>
        </w:rPr>
        <w:t>припинення</w:t>
      </w:r>
      <w:proofErr w:type="spellEnd"/>
      <w:r w:rsidR="00961937">
        <w:rPr>
          <w:rFonts w:ascii="Times New Roman" w:hAnsi="Times New Roman"/>
          <w:b/>
          <w:sz w:val="24"/>
          <w:szCs w:val="24"/>
        </w:rPr>
        <w:t xml:space="preserve"> права </w:t>
      </w:r>
      <w:r w:rsidR="00961937">
        <w:rPr>
          <w:rFonts w:ascii="Times New Roman" w:hAnsi="Times New Roman"/>
          <w:b/>
          <w:sz w:val="24"/>
          <w:szCs w:val="24"/>
          <w:lang w:val="uk-UA"/>
        </w:rPr>
        <w:t>оперативного управління</w:t>
      </w:r>
      <w:r w:rsidR="00961937" w:rsidRPr="006679B5">
        <w:rPr>
          <w:rFonts w:ascii="Times New Roman" w:hAnsi="Times New Roman"/>
          <w:b/>
          <w:sz w:val="24"/>
          <w:szCs w:val="24"/>
        </w:rPr>
        <w:t xml:space="preserve"> та передачу майна на </w:t>
      </w:r>
      <w:proofErr w:type="spellStart"/>
      <w:r w:rsidR="00961937" w:rsidRPr="006679B5">
        <w:rPr>
          <w:rFonts w:ascii="Times New Roman" w:hAnsi="Times New Roman"/>
          <w:b/>
          <w:sz w:val="24"/>
          <w:szCs w:val="24"/>
        </w:rPr>
        <w:t>праві</w:t>
      </w:r>
      <w:proofErr w:type="spellEnd"/>
      <w:r w:rsidR="00961937" w:rsidRPr="006679B5">
        <w:rPr>
          <w:rFonts w:ascii="Times New Roman" w:hAnsi="Times New Roman"/>
          <w:b/>
          <w:sz w:val="24"/>
          <w:szCs w:val="24"/>
        </w:rPr>
        <w:t xml:space="preserve"> узуфрукт</w:t>
      </w:r>
      <w:r w:rsidR="003A6369">
        <w:rPr>
          <w:rFonts w:ascii="Times New Roman" w:hAnsi="Times New Roman"/>
          <w:b/>
          <w:sz w:val="24"/>
          <w:szCs w:val="24"/>
          <w:lang w:val="uk-UA"/>
        </w:rPr>
        <w:t>а</w:t>
      </w:r>
      <w:r w:rsidR="0096193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1937" w:rsidRPr="006679B5">
        <w:rPr>
          <w:rFonts w:ascii="Times New Roman" w:hAnsi="Times New Roman"/>
          <w:b/>
          <w:sz w:val="24"/>
          <w:szCs w:val="24"/>
          <w:lang w:val="uk-UA"/>
        </w:rPr>
        <w:t>Територіально</w:t>
      </w:r>
      <w:r w:rsidR="00961937">
        <w:rPr>
          <w:rFonts w:ascii="Times New Roman" w:hAnsi="Times New Roman"/>
          <w:b/>
          <w:sz w:val="24"/>
          <w:szCs w:val="24"/>
          <w:lang w:val="uk-UA"/>
        </w:rPr>
        <w:t>му</w:t>
      </w:r>
      <w:r w:rsidR="00961937" w:rsidRPr="006679B5">
        <w:rPr>
          <w:rFonts w:ascii="Times New Roman" w:hAnsi="Times New Roman"/>
          <w:b/>
          <w:sz w:val="24"/>
          <w:szCs w:val="24"/>
          <w:lang w:val="uk-UA"/>
        </w:rPr>
        <w:t xml:space="preserve"> центру соціального обслуговування </w:t>
      </w:r>
      <w:r w:rsidR="001F5412">
        <w:rPr>
          <w:rFonts w:ascii="Times New Roman" w:hAnsi="Times New Roman"/>
          <w:b/>
          <w:sz w:val="24"/>
          <w:szCs w:val="24"/>
          <w:lang w:val="uk-UA"/>
        </w:rPr>
        <w:t xml:space="preserve">(надання соціальних послуг) </w:t>
      </w:r>
      <w:r w:rsidR="00961937" w:rsidRPr="006679B5">
        <w:rPr>
          <w:rFonts w:ascii="Times New Roman" w:hAnsi="Times New Roman"/>
          <w:b/>
          <w:sz w:val="24"/>
          <w:szCs w:val="24"/>
          <w:lang w:val="uk-UA"/>
        </w:rPr>
        <w:t>Роменської міської ради</w:t>
      </w:r>
    </w:p>
    <w:p w:rsidR="00623099" w:rsidRPr="004F46CE" w:rsidRDefault="00623099" w:rsidP="0062309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</w:p>
    <w:p w:rsidR="00426328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</w:rPr>
        <w:t xml:space="preserve">Проєкт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підготовлено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 метою </w:t>
      </w:r>
      <w:r w:rsidR="00A46147">
        <w:rPr>
          <w:rFonts w:ascii="Times New Roman" w:hAnsi="Times New Roman" w:cs="Times New Roman"/>
          <w:sz w:val="24"/>
          <w:szCs w:val="24"/>
          <w:lang w:val="uk-UA"/>
        </w:rPr>
        <w:t xml:space="preserve">усунення виявленої технічної помилки у назві юридичної особи – Територіального центру соціального обслуговування (надання соціальних послуг) Роменської міської ради та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приведення до вимог діючого законодавства правових підстав володіння та користування майном комунальної власності Роменської міської територіальної громади установами, підприємствами, організаціями тощо, засновником яких є Роменська міська рада Сумської області, що є балансоутримувачами такого майна. 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з цим виникає нагальна потреба </w:t>
      </w:r>
      <w:r w:rsidR="00854BF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припиненн</w:t>
      </w:r>
      <w:r w:rsidR="00854B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права опер</w:t>
      </w:r>
      <w:r w:rsidR="00054122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тивного управління та господарського відання майном, що було раніше передано вищезазначеним 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>єктам</w:t>
      </w:r>
      <w:proofErr w:type="spellEnd"/>
      <w:r w:rsidR="00521C8E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господарювання на цих правах.</w:t>
      </w:r>
    </w:p>
    <w:p w:rsidR="00426328" w:rsidRPr="00065DD5" w:rsidRDefault="00521C8E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5 Порядку передачі державного та комунального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 8 вересня 2025 р.    № 1103, в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раховуючи лист – пропозицію Територіального центру соціального обслуговування </w:t>
      </w:r>
      <w:r w:rsidR="001F5412">
        <w:rPr>
          <w:rFonts w:ascii="Times New Roman" w:hAnsi="Times New Roman" w:cs="Times New Roman"/>
          <w:sz w:val="24"/>
          <w:szCs w:val="24"/>
          <w:lang w:val="uk-UA"/>
        </w:rPr>
        <w:t xml:space="preserve">(надання соціальних послуг) </w:t>
      </w:r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Роменської міської ради щодо передачі йому на праві </w:t>
      </w:r>
      <w:proofErr w:type="spellStart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3A636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426328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майна, яке обліковується на його балансі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, було розроблено проєкт рішення Роменської міської ради «Про припинення права оперативного управління та передачу майна на праві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</w:t>
      </w:r>
      <w:r w:rsidR="003A6369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Територіальному центру соціального обслуговування </w:t>
      </w:r>
      <w:r w:rsidR="001F5412">
        <w:rPr>
          <w:rFonts w:ascii="Times New Roman" w:hAnsi="Times New Roman" w:cs="Times New Roman"/>
          <w:sz w:val="24"/>
          <w:szCs w:val="24"/>
          <w:lang w:val="uk-UA"/>
        </w:rPr>
        <w:t xml:space="preserve">(надання соціальних послуг)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ради.</w:t>
      </w:r>
    </w:p>
    <w:p w:rsidR="00623099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Проєктом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рішення передбачається:</w:t>
      </w:r>
    </w:p>
    <w:p w:rsidR="00065DD5" w:rsidRPr="00065DD5" w:rsidRDefault="00065DD5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припинення права оперативного управління майном комунальної власності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центру соціального обслуговування </w:t>
      </w:r>
      <w:r w:rsidR="006959B8">
        <w:rPr>
          <w:rFonts w:ascii="Times New Roman" w:hAnsi="Times New Roman"/>
          <w:sz w:val="24"/>
          <w:szCs w:val="24"/>
          <w:lang w:val="uk-UA"/>
        </w:rPr>
        <w:t xml:space="preserve">(надання соціальних послуг)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</w:t>
      </w:r>
      <w:r>
        <w:rPr>
          <w:rFonts w:ascii="Times New Roman" w:hAnsi="Times New Roman" w:cs="Times New Roman"/>
          <w:sz w:val="24"/>
          <w:szCs w:val="24"/>
          <w:lang w:val="uk-UA"/>
        </w:rPr>
        <w:t>и;</w:t>
      </w:r>
    </w:p>
    <w:p w:rsidR="00623099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передача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майна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комунальної власності в безоплатне володіння та користування на правах </w:t>
      </w:r>
      <w:proofErr w:type="spellStart"/>
      <w:r w:rsidRPr="00065DD5">
        <w:rPr>
          <w:rFonts w:ascii="Times New Roman" w:hAnsi="Times New Roman" w:cs="Times New Roman"/>
          <w:sz w:val="24"/>
          <w:szCs w:val="24"/>
          <w:lang w:val="uk-UA"/>
        </w:rPr>
        <w:t>узуфрукта</w:t>
      </w:r>
      <w:proofErr w:type="spellEnd"/>
      <w:r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Територіальному центру соціального обслуговування </w:t>
      </w:r>
      <w:r w:rsidR="001F5412">
        <w:rPr>
          <w:rFonts w:ascii="Times New Roman" w:hAnsi="Times New Roman" w:cs="Times New Roman"/>
          <w:sz w:val="24"/>
          <w:szCs w:val="24"/>
          <w:lang w:val="uk-UA"/>
        </w:rPr>
        <w:t xml:space="preserve">(надання соціальних послуг) 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Роменської міської рад</w:t>
      </w:r>
      <w:r w:rsidR="00065DD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 xml:space="preserve"> (далі – </w:t>
      </w:r>
      <w:proofErr w:type="spellStart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Узуфруктарій</w:t>
      </w:r>
      <w:proofErr w:type="spellEnd"/>
      <w:r w:rsidR="00065DD5" w:rsidRPr="00065DD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23099" w:rsidRPr="00065DD5" w:rsidRDefault="00623099" w:rsidP="00FA5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встанов</w:t>
      </w:r>
      <w:r w:rsidR="005240E5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безстроков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sz w:val="24"/>
          <w:szCs w:val="24"/>
        </w:rPr>
        <w:t xml:space="preserve"> прав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DD5">
        <w:rPr>
          <w:rFonts w:ascii="Times New Roman" w:hAnsi="Times New Roman" w:cs="Times New Roman"/>
          <w:sz w:val="24"/>
          <w:szCs w:val="24"/>
        </w:rPr>
        <w:t xml:space="preserve">узуфрукта на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зазначене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майно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>;</w:t>
      </w:r>
    </w:p>
    <w:p w:rsidR="00623099" w:rsidRPr="00065DD5" w:rsidRDefault="00623099" w:rsidP="00FA59D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визнач</w:t>
      </w:r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ення</w:t>
      </w:r>
      <w:proofErr w:type="spellEnd"/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цільов</w:t>
      </w:r>
      <w:proofErr w:type="spellEnd"/>
      <w:r w:rsidR="00E00F0A" w:rsidRPr="00065DD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ого</w:t>
      </w:r>
      <w:r w:rsidRPr="00065D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майна.</w:t>
      </w:r>
    </w:p>
    <w:p w:rsidR="00623099" w:rsidRPr="00065DD5" w:rsidRDefault="00623099" w:rsidP="00065DD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Механізм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узуфрукта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дозвол</w:t>
      </w:r>
      <w:r w:rsidRPr="00065DD5">
        <w:rPr>
          <w:rFonts w:ascii="Times New Roman" w:hAnsi="Times New Roman" w:cs="Times New Roman"/>
          <w:sz w:val="24"/>
          <w:szCs w:val="24"/>
          <w:lang w:val="uk-UA"/>
        </w:rPr>
        <w:t>ить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комунальної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територіальною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громадою та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D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065DD5">
        <w:rPr>
          <w:rFonts w:ascii="Times New Roman" w:hAnsi="Times New Roman" w:cs="Times New Roman"/>
          <w:sz w:val="24"/>
          <w:szCs w:val="24"/>
        </w:rPr>
        <w:t xml:space="preserve"> майна </w:t>
      </w:r>
      <w:proofErr w:type="spellStart"/>
      <w:r w:rsidR="00065DD5">
        <w:rPr>
          <w:rFonts w:ascii="Times New Roman" w:hAnsi="Times New Roman" w:cs="Times New Roman"/>
          <w:sz w:val="24"/>
          <w:szCs w:val="24"/>
          <w:lang w:val="uk-UA"/>
        </w:rPr>
        <w:t>Узуфруктарієм</w:t>
      </w:r>
      <w:proofErr w:type="spellEnd"/>
      <w:r w:rsidR="00065DD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23099" w:rsidRDefault="00623099" w:rsidP="00623099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</w:rPr>
        <w:t xml:space="preserve">Начальник 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 xml:space="preserve">Управління економічного </w:t>
      </w: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1054B">
        <w:rPr>
          <w:rFonts w:ascii="Times New Roman" w:hAnsi="Times New Roman"/>
          <w:b/>
          <w:sz w:val="24"/>
          <w:szCs w:val="24"/>
          <w:lang w:val="uk-UA"/>
        </w:rPr>
        <w:t>розвитку Роменської міської ради</w:t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Pr="0051054B">
        <w:rPr>
          <w:rFonts w:ascii="Times New Roman" w:hAnsi="Times New Roman"/>
          <w:b/>
          <w:sz w:val="24"/>
          <w:szCs w:val="24"/>
          <w:lang w:val="uk-UA"/>
        </w:rPr>
        <w:t>Юлія БІЛОУС</w:t>
      </w:r>
    </w:p>
    <w:p w:rsidR="00E00F0A" w:rsidRDefault="00E00F0A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3099" w:rsidRPr="0051054B" w:rsidRDefault="00623099" w:rsidP="00E00F0A">
      <w:pPr>
        <w:spacing w:after="0" w:line="271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1054B">
        <w:rPr>
          <w:rFonts w:ascii="Times New Roman" w:hAnsi="Times New Roman"/>
          <w:b/>
          <w:sz w:val="24"/>
          <w:szCs w:val="24"/>
        </w:rPr>
        <w:t>Погоджено</w:t>
      </w:r>
      <w:proofErr w:type="spellEnd"/>
    </w:p>
    <w:p w:rsidR="00623099" w:rsidRPr="00904130" w:rsidRDefault="00BE7BB0" w:rsidP="00BE7BB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Заступник міського голови</w:t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 w:rsidR="00854BF6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Олена ВАХТЕРОВА</w:t>
      </w: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3099" w:rsidRPr="00904130" w:rsidRDefault="00623099" w:rsidP="006230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5521C" w:rsidRPr="00C23286" w:rsidRDefault="0085521C" w:rsidP="009819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387CB0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E78" w:rsidRDefault="00EC5E78">
      <w:pPr>
        <w:spacing w:after="0" w:line="240" w:lineRule="auto"/>
      </w:pPr>
      <w:r>
        <w:separator/>
      </w:r>
    </w:p>
  </w:endnote>
  <w:endnote w:type="continuationSeparator" w:id="0">
    <w:p w:rsidR="00EC5E78" w:rsidRDefault="00EC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E78" w:rsidRDefault="00EC5E78">
      <w:pPr>
        <w:spacing w:after="0" w:line="240" w:lineRule="auto"/>
      </w:pPr>
      <w:r>
        <w:separator/>
      </w:r>
    </w:p>
  </w:footnote>
  <w:footnote w:type="continuationSeparator" w:id="0">
    <w:p w:rsidR="00EC5E78" w:rsidRDefault="00EC5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695332"/>
    <w:multiLevelType w:val="hybridMultilevel"/>
    <w:tmpl w:val="2EF86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E0"/>
    <w:multiLevelType w:val="hybridMultilevel"/>
    <w:tmpl w:val="34DE988A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2658C0"/>
    <w:multiLevelType w:val="hybridMultilevel"/>
    <w:tmpl w:val="FE9AEBCE"/>
    <w:lvl w:ilvl="0" w:tplc="20DC1D1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F077ED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FA4225"/>
    <w:multiLevelType w:val="hybridMultilevel"/>
    <w:tmpl w:val="D8641870"/>
    <w:lvl w:ilvl="0" w:tplc="7E04E9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4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6"/>
  </w:num>
  <w:num w:numId="11">
    <w:abstractNumId w:val="7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5"/>
  </w:num>
  <w:num w:numId="19">
    <w:abstractNumId w:val="12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01308"/>
    <w:rsid w:val="0000398D"/>
    <w:rsid w:val="00007567"/>
    <w:rsid w:val="00054122"/>
    <w:rsid w:val="00065DD5"/>
    <w:rsid w:val="00085F3A"/>
    <w:rsid w:val="00091346"/>
    <w:rsid w:val="000931E1"/>
    <w:rsid w:val="00095DF7"/>
    <w:rsid w:val="000A3165"/>
    <w:rsid w:val="000A609B"/>
    <w:rsid w:val="000C73A9"/>
    <w:rsid w:val="000D45FD"/>
    <w:rsid w:val="000E25E4"/>
    <w:rsid w:val="000F31DF"/>
    <w:rsid w:val="00101EB9"/>
    <w:rsid w:val="001100AA"/>
    <w:rsid w:val="001201B6"/>
    <w:rsid w:val="00135DE6"/>
    <w:rsid w:val="00160CD6"/>
    <w:rsid w:val="001A1A5F"/>
    <w:rsid w:val="001B0944"/>
    <w:rsid w:val="001C3310"/>
    <w:rsid w:val="001D3224"/>
    <w:rsid w:val="001D66FC"/>
    <w:rsid w:val="001E3F44"/>
    <w:rsid w:val="001F5412"/>
    <w:rsid w:val="00207244"/>
    <w:rsid w:val="00221CF4"/>
    <w:rsid w:val="002408CA"/>
    <w:rsid w:val="0024369F"/>
    <w:rsid w:val="00274DDE"/>
    <w:rsid w:val="00280095"/>
    <w:rsid w:val="002971DA"/>
    <w:rsid w:val="002B08FA"/>
    <w:rsid w:val="002F7522"/>
    <w:rsid w:val="002F7D7B"/>
    <w:rsid w:val="003038B1"/>
    <w:rsid w:val="00315247"/>
    <w:rsid w:val="00352314"/>
    <w:rsid w:val="00367574"/>
    <w:rsid w:val="00372501"/>
    <w:rsid w:val="003778E6"/>
    <w:rsid w:val="0038075A"/>
    <w:rsid w:val="00387CB0"/>
    <w:rsid w:val="00390B89"/>
    <w:rsid w:val="003A1B1D"/>
    <w:rsid w:val="003A6369"/>
    <w:rsid w:val="003B56B4"/>
    <w:rsid w:val="004038F7"/>
    <w:rsid w:val="00426328"/>
    <w:rsid w:val="00437925"/>
    <w:rsid w:val="0048308B"/>
    <w:rsid w:val="004852B1"/>
    <w:rsid w:val="004956F2"/>
    <w:rsid w:val="004D531E"/>
    <w:rsid w:val="004E181E"/>
    <w:rsid w:val="004F6B60"/>
    <w:rsid w:val="00521C8E"/>
    <w:rsid w:val="005240E5"/>
    <w:rsid w:val="0054147D"/>
    <w:rsid w:val="00544BF5"/>
    <w:rsid w:val="005515A7"/>
    <w:rsid w:val="005529F7"/>
    <w:rsid w:val="005708C3"/>
    <w:rsid w:val="00574EA6"/>
    <w:rsid w:val="00576195"/>
    <w:rsid w:val="005776B0"/>
    <w:rsid w:val="00577FF6"/>
    <w:rsid w:val="00582543"/>
    <w:rsid w:val="00587ADA"/>
    <w:rsid w:val="005E20F2"/>
    <w:rsid w:val="00600F9F"/>
    <w:rsid w:val="0060649D"/>
    <w:rsid w:val="00617326"/>
    <w:rsid w:val="00623099"/>
    <w:rsid w:val="00650529"/>
    <w:rsid w:val="006679B5"/>
    <w:rsid w:val="00670F09"/>
    <w:rsid w:val="006959B8"/>
    <w:rsid w:val="006A0D7E"/>
    <w:rsid w:val="006B2177"/>
    <w:rsid w:val="006B25E8"/>
    <w:rsid w:val="006C49E9"/>
    <w:rsid w:val="006C6973"/>
    <w:rsid w:val="006D53BF"/>
    <w:rsid w:val="006F4F93"/>
    <w:rsid w:val="00703F26"/>
    <w:rsid w:val="00704891"/>
    <w:rsid w:val="00704C32"/>
    <w:rsid w:val="0070769C"/>
    <w:rsid w:val="00760F9F"/>
    <w:rsid w:val="00777630"/>
    <w:rsid w:val="00780703"/>
    <w:rsid w:val="0078276C"/>
    <w:rsid w:val="007D1DD8"/>
    <w:rsid w:val="0080653E"/>
    <w:rsid w:val="00820595"/>
    <w:rsid w:val="00854BF6"/>
    <w:rsid w:val="0085521C"/>
    <w:rsid w:val="008B0C45"/>
    <w:rsid w:val="008D7165"/>
    <w:rsid w:val="008F07BE"/>
    <w:rsid w:val="009214E3"/>
    <w:rsid w:val="009319A6"/>
    <w:rsid w:val="00961937"/>
    <w:rsid w:val="00962227"/>
    <w:rsid w:val="00980780"/>
    <w:rsid w:val="009819CE"/>
    <w:rsid w:val="009873C2"/>
    <w:rsid w:val="009B2EA9"/>
    <w:rsid w:val="009B4E45"/>
    <w:rsid w:val="009C7612"/>
    <w:rsid w:val="009D086E"/>
    <w:rsid w:val="009D15E0"/>
    <w:rsid w:val="009D28CF"/>
    <w:rsid w:val="009E4CDF"/>
    <w:rsid w:val="009F3678"/>
    <w:rsid w:val="00A04878"/>
    <w:rsid w:val="00A078F3"/>
    <w:rsid w:val="00A45D8D"/>
    <w:rsid w:val="00A46147"/>
    <w:rsid w:val="00A51038"/>
    <w:rsid w:val="00A64DD0"/>
    <w:rsid w:val="00A66643"/>
    <w:rsid w:val="00A72E1C"/>
    <w:rsid w:val="00A766F3"/>
    <w:rsid w:val="00A958F8"/>
    <w:rsid w:val="00B11923"/>
    <w:rsid w:val="00B272C8"/>
    <w:rsid w:val="00B369C0"/>
    <w:rsid w:val="00B8402B"/>
    <w:rsid w:val="00BB22C3"/>
    <w:rsid w:val="00BE0A8A"/>
    <w:rsid w:val="00BE7BB0"/>
    <w:rsid w:val="00C22252"/>
    <w:rsid w:val="00C23286"/>
    <w:rsid w:val="00C55DF9"/>
    <w:rsid w:val="00C648D7"/>
    <w:rsid w:val="00C651E5"/>
    <w:rsid w:val="00C74783"/>
    <w:rsid w:val="00C859E4"/>
    <w:rsid w:val="00CA4BA4"/>
    <w:rsid w:val="00CA7FA0"/>
    <w:rsid w:val="00CB4FE4"/>
    <w:rsid w:val="00CB781E"/>
    <w:rsid w:val="00CC0377"/>
    <w:rsid w:val="00CC57F8"/>
    <w:rsid w:val="00CD4E6E"/>
    <w:rsid w:val="00CE46F4"/>
    <w:rsid w:val="00CF5C19"/>
    <w:rsid w:val="00D11348"/>
    <w:rsid w:val="00D23B21"/>
    <w:rsid w:val="00D344B7"/>
    <w:rsid w:val="00D5797C"/>
    <w:rsid w:val="00D57ED7"/>
    <w:rsid w:val="00D63707"/>
    <w:rsid w:val="00D67892"/>
    <w:rsid w:val="00D67AD5"/>
    <w:rsid w:val="00DA0B3F"/>
    <w:rsid w:val="00DA66A9"/>
    <w:rsid w:val="00DA77FE"/>
    <w:rsid w:val="00DE1BE4"/>
    <w:rsid w:val="00DE3CA1"/>
    <w:rsid w:val="00E00F0A"/>
    <w:rsid w:val="00E27089"/>
    <w:rsid w:val="00E46770"/>
    <w:rsid w:val="00E55225"/>
    <w:rsid w:val="00E60DFD"/>
    <w:rsid w:val="00E70B1F"/>
    <w:rsid w:val="00E75606"/>
    <w:rsid w:val="00E806F5"/>
    <w:rsid w:val="00E80F3C"/>
    <w:rsid w:val="00E960F7"/>
    <w:rsid w:val="00EA2437"/>
    <w:rsid w:val="00EA62A5"/>
    <w:rsid w:val="00EC4BF9"/>
    <w:rsid w:val="00EC51AE"/>
    <w:rsid w:val="00EC5E78"/>
    <w:rsid w:val="00ED10CF"/>
    <w:rsid w:val="00EF1DFC"/>
    <w:rsid w:val="00EF7B93"/>
    <w:rsid w:val="00F10BF9"/>
    <w:rsid w:val="00F231ED"/>
    <w:rsid w:val="00F77AD2"/>
    <w:rsid w:val="00F95E31"/>
    <w:rsid w:val="00FA59D5"/>
    <w:rsid w:val="00FB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ED92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character" w:customStyle="1" w:styleId="rvts9">
    <w:name w:val="rvts9"/>
    <w:basedOn w:val="a0"/>
    <w:rsid w:val="00F231ED"/>
  </w:style>
  <w:style w:type="character" w:customStyle="1" w:styleId="rvts37">
    <w:name w:val="rvts37"/>
    <w:basedOn w:val="a0"/>
    <w:rsid w:val="00F2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5262</Words>
  <Characters>3000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2026-06-22T13:30:00Z</cp:lastPrinted>
  <dcterms:created xsi:type="dcterms:W3CDTF">2026-06-10T08:39:00Z</dcterms:created>
  <dcterms:modified xsi:type="dcterms:W3CDTF">2026-06-22T13:38:00Z</dcterms:modified>
</cp:coreProperties>
</file>