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C545B" w:rsidR="008F6229" w:rsidP="00F63AEE" w:rsidRDefault="008F6229" w14:paraId="122F8FCC" wp14:textId="77777777">
      <w:pPr>
        <w:jc w:val="center"/>
        <w:rPr>
          <w:rFonts w:ascii="Times New Roman" w:hAnsi="Times New Roman"/>
          <w:b/>
          <w:lang w:val="uk-UA"/>
        </w:rPr>
      </w:pPr>
      <w:r w:rsidRPr="009C545B">
        <w:rPr>
          <w:rFonts w:ascii="Times New Roman" w:hAnsi="Times New Roman"/>
          <w:b/>
          <w:lang w:val="uk-UA"/>
        </w:rPr>
        <w:t>ЗВІТ</w:t>
      </w:r>
    </w:p>
    <w:p xmlns:wp14="http://schemas.microsoft.com/office/word/2010/wordml" w:rsidRPr="00CC5CC7" w:rsidR="00CC5CC7" w:rsidP="00A50092" w:rsidRDefault="00CC5CC7" w14:paraId="19EF99B6" wp14:textId="77777777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</w:t>
      </w:r>
      <w:r w:rsidRPr="00CC5CC7">
        <w:rPr>
          <w:rFonts w:ascii="Times New Roman" w:hAnsi="Times New Roman"/>
          <w:b/>
          <w:lang w:val="uk-UA"/>
        </w:rPr>
        <w:t xml:space="preserve">ро </w:t>
      </w:r>
      <w:r w:rsidR="00F47D28">
        <w:rPr>
          <w:rFonts w:ascii="Times New Roman" w:hAnsi="Times New Roman"/>
          <w:b/>
          <w:lang w:val="uk-UA"/>
        </w:rPr>
        <w:t>періодичне</w:t>
      </w:r>
      <w:r w:rsidR="00A50092">
        <w:rPr>
          <w:rFonts w:ascii="Times New Roman" w:hAnsi="Times New Roman"/>
          <w:b/>
          <w:lang w:val="uk-UA"/>
        </w:rPr>
        <w:t xml:space="preserve"> відстеження результативності регуляторного </w:t>
      </w:r>
      <w:proofErr w:type="spellStart"/>
      <w:r w:rsidR="00A50092">
        <w:rPr>
          <w:rFonts w:ascii="Times New Roman" w:hAnsi="Times New Roman"/>
          <w:b/>
          <w:lang w:val="uk-UA"/>
        </w:rPr>
        <w:t>акта</w:t>
      </w:r>
      <w:proofErr w:type="spellEnd"/>
      <w:r w:rsidR="00A50092">
        <w:rPr>
          <w:rFonts w:ascii="Times New Roman" w:hAnsi="Times New Roman"/>
          <w:b/>
          <w:lang w:val="uk-UA"/>
        </w:rPr>
        <w:t xml:space="preserve"> -</w:t>
      </w:r>
      <w:r w:rsidRPr="00CC5CC7">
        <w:rPr>
          <w:rFonts w:ascii="Times New Roman" w:hAnsi="Times New Roman"/>
          <w:b/>
          <w:lang w:val="uk-UA"/>
        </w:rPr>
        <w:t xml:space="preserve"> </w:t>
      </w:r>
      <w:r w:rsidRPr="00CC5CC7" w:rsidR="00A50092">
        <w:rPr>
          <w:rFonts w:ascii="Times New Roman" w:hAnsi="Times New Roman"/>
          <w:b/>
          <w:lang w:val="uk-UA"/>
        </w:rPr>
        <w:t>рішення двадцятої сесії міської ради шостого скликання від 24.02.2012</w:t>
      </w:r>
      <w:r w:rsidR="00D838A9">
        <w:rPr>
          <w:rFonts w:ascii="Times New Roman" w:hAnsi="Times New Roman"/>
          <w:b/>
          <w:lang w:val="uk-UA"/>
        </w:rPr>
        <w:t xml:space="preserve"> р.</w:t>
      </w:r>
      <w:r w:rsidR="00A50092">
        <w:rPr>
          <w:rFonts w:ascii="Times New Roman" w:hAnsi="Times New Roman"/>
          <w:b/>
          <w:lang w:val="uk-UA"/>
        </w:rPr>
        <w:t xml:space="preserve"> «Про затвердження </w:t>
      </w:r>
      <w:r w:rsidRPr="00CC5CC7">
        <w:rPr>
          <w:rFonts w:ascii="Times New Roman" w:hAnsi="Times New Roman"/>
          <w:b/>
          <w:lang w:val="uk-UA"/>
        </w:rPr>
        <w:t xml:space="preserve">Правил благоустрою, забезпечення чистоти, порядку утримання і прибирання вуличних, дворових територій, парків, скверів та додержання тиші </w:t>
      </w:r>
      <w:r w:rsidR="00A50092">
        <w:rPr>
          <w:rFonts w:ascii="Times New Roman" w:hAnsi="Times New Roman"/>
          <w:b/>
          <w:lang w:val="uk-UA"/>
        </w:rPr>
        <w:t>в громадських місцях м. Ромни»</w:t>
      </w:r>
    </w:p>
    <w:p xmlns:wp14="http://schemas.microsoft.com/office/word/2010/wordml" w:rsidRPr="00CC5CC7" w:rsidR="008F6229" w:rsidP="00CC5CC7" w:rsidRDefault="008F6229" w14:paraId="672A6659" wp14:textId="77777777">
      <w:pPr>
        <w:ind w:hanging="284"/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8F6229" w:rsidP="008F6229" w:rsidRDefault="008F6229" w14:paraId="560DADFD" wp14:textId="77777777">
      <w:pPr>
        <w:ind w:hanging="284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1.   </w:t>
      </w:r>
      <w:r w:rsidR="00A50092">
        <w:rPr>
          <w:rFonts w:ascii="Times New Roman" w:hAnsi="Times New Roman"/>
          <w:b/>
          <w:lang w:val="uk-UA"/>
        </w:rPr>
        <w:t>Вид та н</w:t>
      </w:r>
      <w:r>
        <w:rPr>
          <w:rFonts w:ascii="Times New Roman" w:hAnsi="Times New Roman"/>
          <w:b/>
          <w:lang w:val="uk-UA"/>
        </w:rPr>
        <w:t xml:space="preserve">азва </w:t>
      </w:r>
      <w:r w:rsidR="00A50092">
        <w:rPr>
          <w:rFonts w:ascii="Times New Roman" w:hAnsi="Times New Roman"/>
          <w:b/>
          <w:lang w:val="uk-UA"/>
        </w:rPr>
        <w:t xml:space="preserve">регуляторного </w:t>
      </w:r>
      <w:proofErr w:type="spellStart"/>
      <w:r w:rsidR="00A50092">
        <w:rPr>
          <w:rFonts w:ascii="Times New Roman" w:hAnsi="Times New Roman"/>
          <w:b/>
          <w:lang w:val="uk-UA"/>
        </w:rPr>
        <w:t>акта</w:t>
      </w:r>
      <w:proofErr w:type="spellEnd"/>
      <w:r>
        <w:rPr>
          <w:rFonts w:ascii="Times New Roman" w:hAnsi="Times New Roman"/>
          <w:b/>
          <w:lang w:val="uk-UA"/>
        </w:rPr>
        <w:t>:</w:t>
      </w:r>
    </w:p>
    <w:p xmlns:wp14="http://schemas.microsoft.com/office/word/2010/wordml" w:rsidR="00CC5CC7" w:rsidP="00CC5CC7" w:rsidRDefault="00A50092" w14:paraId="25BD6AF4" wp14:textId="77777777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</w:t>
      </w:r>
      <w:r w:rsidRPr="00CC5CC7" w:rsidR="00CC5CC7">
        <w:rPr>
          <w:rFonts w:ascii="Times New Roman" w:hAnsi="Times New Roman"/>
          <w:lang w:val="uk-UA"/>
        </w:rPr>
        <w:t xml:space="preserve">ішення двадцятої сесії </w:t>
      </w:r>
      <w:r>
        <w:rPr>
          <w:rFonts w:ascii="Times New Roman" w:hAnsi="Times New Roman"/>
          <w:lang w:val="uk-UA"/>
        </w:rPr>
        <w:t xml:space="preserve">Роменської </w:t>
      </w:r>
      <w:r w:rsidRPr="00CC5CC7" w:rsidR="00CC5CC7">
        <w:rPr>
          <w:rFonts w:ascii="Times New Roman" w:hAnsi="Times New Roman"/>
          <w:lang w:val="uk-UA"/>
        </w:rPr>
        <w:t>міської ради шостого скликання від 24.02.2012</w:t>
      </w:r>
      <w:r w:rsidR="00D838A9">
        <w:rPr>
          <w:rFonts w:ascii="Times New Roman" w:hAnsi="Times New Roman"/>
          <w:lang w:val="uk-UA"/>
        </w:rPr>
        <w:t xml:space="preserve"> р.</w:t>
      </w:r>
      <w:r w:rsidRPr="00CC5CC7" w:rsidR="00CC5CC7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«П</w:t>
      </w:r>
      <w:r w:rsidRPr="00CC5CC7" w:rsidR="00CC5CC7">
        <w:rPr>
          <w:rFonts w:ascii="Times New Roman" w:hAnsi="Times New Roman"/>
          <w:lang w:val="uk-UA"/>
        </w:rPr>
        <w:t>ро затвердження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Ромни»</w:t>
      </w:r>
      <w:r w:rsidR="00D838A9">
        <w:rPr>
          <w:rFonts w:ascii="Times New Roman" w:hAnsi="Times New Roman"/>
          <w:lang w:val="uk-UA"/>
        </w:rPr>
        <w:t>.</w:t>
      </w:r>
    </w:p>
    <w:p xmlns:wp14="http://schemas.microsoft.com/office/word/2010/wordml" w:rsidRPr="00CC5CC7" w:rsidR="000F2C0C" w:rsidP="00CC5CC7" w:rsidRDefault="000F2C0C" w14:paraId="0A37501D" wp14:textId="77777777">
      <w:pPr>
        <w:jc w:val="both"/>
        <w:rPr>
          <w:rFonts w:ascii="Times New Roman" w:hAnsi="Times New Roman"/>
          <w:lang w:val="uk-UA"/>
        </w:rPr>
      </w:pPr>
    </w:p>
    <w:p xmlns:wp14="http://schemas.microsoft.com/office/word/2010/wordml" w:rsidR="008F6229" w:rsidP="008F6229" w:rsidRDefault="008F6229" w14:paraId="44B6DD8F" wp14:textId="77777777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2. </w:t>
      </w:r>
      <w:r w:rsidRPr="00411B8E">
        <w:rPr>
          <w:rFonts w:ascii="Times New Roman" w:hAnsi="Times New Roman"/>
          <w:b/>
          <w:lang w:val="uk-UA"/>
        </w:rPr>
        <w:t>Назва виконавця заходів з відстеження:</w:t>
      </w:r>
      <w:r>
        <w:rPr>
          <w:rFonts w:ascii="Times New Roman" w:hAnsi="Times New Roman"/>
          <w:lang w:val="uk-UA"/>
        </w:rPr>
        <w:t xml:space="preserve"> </w:t>
      </w:r>
    </w:p>
    <w:p xmlns:wp14="http://schemas.microsoft.com/office/word/2010/wordml" w:rsidR="008F6229" w:rsidP="0099402B" w:rsidRDefault="00CC5CC7" w14:paraId="413A46AD" wp14:textId="77777777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Управління житлово-комунального господарства</w:t>
      </w:r>
      <w:r w:rsidR="008F6229">
        <w:rPr>
          <w:rFonts w:ascii="Times New Roman" w:hAnsi="Times New Roman"/>
          <w:lang w:val="uk-UA"/>
        </w:rPr>
        <w:t xml:space="preserve"> Роменської міської ради;</w:t>
      </w:r>
    </w:p>
    <w:p xmlns:wp14="http://schemas.microsoft.com/office/word/2010/wordml" w:rsidR="000F2C0C" w:rsidP="0099402B" w:rsidRDefault="000F2C0C" w14:paraId="5DAB6C7B" wp14:textId="77777777">
      <w:pPr>
        <w:jc w:val="both"/>
        <w:rPr>
          <w:rFonts w:ascii="Times New Roman" w:hAnsi="Times New Roman"/>
          <w:lang w:val="uk-UA"/>
        </w:rPr>
      </w:pPr>
    </w:p>
    <w:p xmlns:wp14="http://schemas.microsoft.com/office/word/2010/wordml" w:rsidR="008F6229" w:rsidP="008F6229" w:rsidRDefault="008F6229" w14:paraId="14566155" wp14:textId="77777777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3. </w:t>
      </w:r>
      <w:r w:rsidR="00A50092">
        <w:rPr>
          <w:rFonts w:ascii="Times New Roman" w:hAnsi="Times New Roman"/>
          <w:b/>
          <w:lang w:val="uk-UA"/>
        </w:rPr>
        <w:t>Мета</w:t>
      </w:r>
      <w:r w:rsidRPr="008D1809">
        <w:rPr>
          <w:rFonts w:ascii="Times New Roman" w:hAnsi="Times New Roman"/>
          <w:b/>
          <w:lang w:val="uk-UA"/>
        </w:rPr>
        <w:t xml:space="preserve"> прийняття акту:</w:t>
      </w:r>
    </w:p>
    <w:p xmlns:wp14="http://schemas.microsoft.com/office/word/2010/wordml" w:rsidRPr="000F2C0C" w:rsidR="000F2C0C" w:rsidP="000F2C0C" w:rsidRDefault="000F2C0C" w14:paraId="6F025FD6" wp14:textId="77777777">
      <w:pPr>
        <w:jc w:val="both"/>
        <w:rPr>
          <w:rFonts w:ascii="Times New Roman" w:hAnsi="Times New Roman"/>
          <w:lang w:val="ru-RU"/>
        </w:rPr>
      </w:pPr>
      <w:proofErr w:type="spellStart"/>
      <w:r w:rsidRPr="000F2C0C">
        <w:rPr>
          <w:rFonts w:ascii="Times New Roman" w:hAnsi="Times New Roman"/>
          <w:lang w:val="ru-RU"/>
        </w:rPr>
        <w:t>Цілями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регулювання</w:t>
      </w:r>
      <w:proofErr w:type="spellEnd"/>
      <w:r w:rsidRPr="000F2C0C">
        <w:rPr>
          <w:rFonts w:ascii="Times New Roman" w:hAnsi="Times New Roman"/>
          <w:lang w:val="ru-RU"/>
        </w:rPr>
        <w:t xml:space="preserve"> є </w:t>
      </w:r>
      <w:proofErr w:type="spellStart"/>
      <w:r w:rsidRPr="000F2C0C">
        <w:rPr>
          <w:rFonts w:ascii="Times New Roman" w:hAnsi="Times New Roman"/>
          <w:lang w:val="ru-RU"/>
        </w:rPr>
        <w:t>встановлення</w:t>
      </w:r>
      <w:proofErr w:type="spellEnd"/>
      <w:r w:rsidRPr="000F2C0C">
        <w:rPr>
          <w:rFonts w:ascii="Times New Roman" w:hAnsi="Times New Roman"/>
          <w:lang w:val="ru-RU"/>
        </w:rPr>
        <w:t xml:space="preserve"> у </w:t>
      </w:r>
      <w:proofErr w:type="spellStart"/>
      <w:r w:rsidRPr="000F2C0C">
        <w:rPr>
          <w:rFonts w:ascii="Times New Roman" w:hAnsi="Times New Roman"/>
          <w:lang w:val="ru-RU"/>
        </w:rPr>
        <w:t>відповідності</w:t>
      </w:r>
      <w:proofErr w:type="spellEnd"/>
      <w:r w:rsidRPr="000F2C0C">
        <w:rPr>
          <w:rFonts w:ascii="Times New Roman" w:hAnsi="Times New Roman"/>
          <w:lang w:val="ru-RU"/>
        </w:rPr>
        <w:t xml:space="preserve"> до чинного </w:t>
      </w:r>
      <w:proofErr w:type="spellStart"/>
      <w:r w:rsidRPr="000F2C0C">
        <w:rPr>
          <w:rFonts w:ascii="Times New Roman" w:hAnsi="Times New Roman"/>
          <w:lang w:val="ru-RU"/>
        </w:rPr>
        <w:t>законодавства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України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простих</w:t>
      </w:r>
      <w:proofErr w:type="spellEnd"/>
      <w:r w:rsidRPr="000F2C0C">
        <w:rPr>
          <w:rFonts w:ascii="Times New Roman" w:hAnsi="Times New Roman"/>
          <w:lang w:val="ru-RU"/>
        </w:rPr>
        <w:t xml:space="preserve"> та </w:t>
      </w:r>
      <w:proofErr w:type="spellStart"/>
      <w:r w:rsidRPr="000F2C0C">
        <w:rPr>
          <w:rFonts w:ascii="Times New Roman" w:hAnsi="Times New Roman"/>
          <w:lang w:val="ru-RU"/>
        </w:rPr>
        <w:t>зрозумілих</w:t>
      </w:r>
      <w:proofErr w:type="spellEnd"/>
      <w:r w:rsidRPr="000F2C0C">
        <w:rPr>
          <w:rFonts w:ascii="Times New Roman" w:hAnsi="Times New Roman"/>
          <w:lang w:val="ru-RU"/>
        </w:rPr>
        <w:t xml:space="preserve"> для кожного </w:t>
      </w:r>
      <w:proofErr w:type="spellStart"/>
      <w:r w:rsidRPr="000F2C0C">
        <w:rPr>
          <w:rFonts w:ascii="Times New Roman" w:hAnsi="Times New Roman"/>
          <w:lang w:val="ru-RU"/>
        </w:rPr>
        <w:t>суб’єкта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господарювання</w:t>
      </w:r>
      <w:proofErr w:type="spellEnd"/>
      <w:r w:rsidRPr="000F2C0C">
        <w:rPr>
          <w:rFonts w:ascii="Times New Roman" w:hAnsi="Times New Roman"/>
          <w:lang w:val="ru-RU"/>
        </w:rPr>
        <w:t xml:space="preserve"> Правил і </w:t>
      </w:r>
      <w:proofErr w:type="spellStart"/>
      <w:r w:rsidRPr="000F2C0C">
        <w:rPr>
          <w:rFonts w:ascii="Times New Roman" w:hAnsi="Times New Roman"/>
          <w:lang w:val="ru-RU"/>
        </w:rPr>
        <w:t>створення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механізмів</w:t>
      </w:r>
      <w:proofErr w:type="spellEnd"/>
      <w:r w:rsidRPr="000F2C0C">
        <w:rPr>
          <w:rFonts w:ascii="Times New Roman" w:hAnsi="Times New Roman"/>
          <w:lang w:val="ru-RU"/>
        </w:rPr>
        <w:t xml:space="preserve"> для </w:t>
      </w:r>
      <w:proofErr w:type="spellStart"/>
      <w:r w:rsidRPr="000F2C0C">
        <w:rPr>
          <w:rFonts w:ascii="Times New Roman" w:hAnsi="Times New Roman"/>
          <w:lang w:val="ru-RU"/>
        </w:rPr>
        <w:t>їх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виконання</w:t>
      </w:r>
      <w:proofErr w:type="spellEnd"/>
      <w:r w:rsidRPr="000F2C0C">
        <w:rPr>
          <w:rFonts w:ascii="Times New Roman" w:hAnsi="Times New Roman"/>
          <w:lang w:val="ru-RU"/>
        </w:rPr>
        <w:t xml:space="preserve">. Мета - </w:t>
      </w:r>
      <w:proofErr w:type="spellStart"/>
      <w:r w:rsidRPr="000F2C0C">
        <w:rPr>
          <w:rFonts w:ascii="Times New Roman" w:hAnsi="Times New Roman"/>
          <w:lang w:val="ru-RU"/>
        </w:rPr>
        <w:t>створення</w:t>
      </w:r>
      <w:proofErr w:type="spellEnd"/>
      <w:r w:rsidRPr="000F2C0C">
        <w:rPr>
          <w:rFonts w:ascii="Times New Roman" w:hAnsi="Times New Roman"/>
          <w:lang w:val="ru-RU"/>
        </w:rPr>
        <w:t xml:space="preserve"> умов для </w:t>
      </w:r>
      <w:proofErr w:type="spellStart"/>
      <w:r w:rsidRPr="000F2C0C">
        <w:rPr>
          <w:rFonts w:ascii="Times New Roman" w:hAnsi="Times New Roman"/>
          <w:lang w:val="ru-RU"/>
        </w:rPr>
        <w:t>відновлення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навколишнього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середовища</w:t>
      </w:r>
      <w:proofErr w:type="spellEnd"/>
      <w:r w:rsidRPr="000F2C0C">
        <w:rPr>
          <w:rFonts w:ascii="Times New Roman" w:hAnsi="Times New Roman"/>
          <w:lang w:val="ru-RU"/>
        </w:rPr>
        <w:t xml:space="preserve">, </w:t>
      </w:r>
      <w:proofErr w:type="spellStart"/>
      <w:r w:rsidRPr="000F2C0C">
        <w:rPr>
          <w:rFonts w:ascii="Times New Roman" w:hAnsi="Times New Roman"/>
          <w:lang w:val="ru-RU"/>
        </w:rPr>
        <w:t>сприятливого</w:t>
      </w:r>
      <w:proofErr w:type="spellEnd"/>
      <w:r w:rsidRPr="000F2C0C">
        <w:rPr>
          <w:rFonts w:ascii="Times New Roman" w:hAnsi="Times New Roman"/>
          <w:lang w:val="ru-RU"/>
        </w:rPr>
        <w:t xml:space="preserve"> для </w:t>
      </w:r>
      <w:proofErr w:type="spellStart"/>
      <w:r w:rsidRPr="000F2C0C">
        <w:rPr>
          <w:rFonts w:ascii="Times New Roman" w:hAnsi="Times New Roman"/>
          <w:lang w:val="ru-RU"/>
        </w:rPr>
        <w:t>життєдіяльності</w:t>
      </w:r>
      <w:proofErr w:type="spellEnd"/>
      <w:r w:rsidRPr="000F2C0C">
        <w:rPr>
          <w:rFonts w:ascii="Times New Roman" w:hAnsi="Times New Roman"/>
          <w:lang w:val="ru-RU"/>
        </w:rPr>
        <w:t xml:space="preserve"> як конкретного </w:t>
      </w:r>
      <w:proofErr w:type="spellStart"/>
      <w:r w:rsidRPr="000F2C0C">
        <w:rPr>
          <w:rFonts w:ascii="Times New Roman" w:hAnsi="Times New Roman"/>
          <w:lang w:val="ru-RU"/>
        </w:rPr>
        <w:t>громадянина</w:t>
      </w:r>
      <w:proofErr w:type="spellEnd"/>
      <w:r w:rsidRPr="000F2C0C">
        <w:rPr>
          <w:rFonts w:ascii="Times New Roman" w:hAnsi="Times New Roman"/>
          <w:lang w:val="ru-RU"/>
        </w:rPr>
        <w:t xml:space="preserve">, так і </w:t>
      </w:r>
      <w:proofErr w:type="spellStart"/>
      <w:r w:rsidRPr="000F2C0C">
        <w:rPr>
          <w:rFonts w:ascii="Times New Roman" w:hAnsi="Times New Roman"/>
          <w:lang w:val="ru-RU"/>
        </w:rPr>
        <w:t>суб’єктів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господарювання</w:t>
      </w:r>
      <w:proofErr w:type="spellEnd"/>
      <w:r w:rsidRPr="000F2C0C">
        <w:rPr>
          <w:rFonts w:ascii="Times New Roman" w:hAnsi="Times New Roman"/>
          <w:lang w:val="ru-RU"/>
        </w:rPr>
        <w:t xml:space="preserve">. </w:t>
      </w:r>
      <w:proofErr w:type="spellStart"/>
      <w:r w:rsidRPr="000F2C0C">
        <w:rPr>
          <w:rFonts w:ascii="Times New Roman" w:hAnsi="Times New Roman"/>
          <w:lang w:val="ru-RU"/>
        </w:rPr>
        <w:t>Захисту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довкілля</w:t>
      </w:r>
      <w:proofErr w:type="spellEnd"/>
      <w:r w:rsidRPr="000F2C0C">
        <w:rPr>
          <w:rFonts w:ascii="Times New Roman" w:hAnsi="Times New Roman"/>
          <w:lang w:val="ru-RU"/>
        </w:rPr>
        <w:t xml:space="preserve">, </w:t>
      </w:r>
      <w:proofErr w:type="spellStart"/>
      <w:r w:rsidRPr="000F2C0C">
        <w:rPr>
          <w:rFonts w:ascii="Times New Roman" w:hAnsi="Times New Roman"/>
          <w:lang w:val="ru-RU"/>
        </w:rPr>
        <w:t>покращення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санітарного</w:t>
      </w:r>
      <w:proofErr w:type="spellEnd"/>
      <w:r w:rsidRPr="000F2C0C">
        <w:rPr>
          <w:rFonts w:ascii="Times New Roman" w:hAnsi="Times New Roman"/>
          <w:lang w:val="ru-RU"/>
        </w:rPr>
        <w:t xml:space="preserve"> стану та </w:t>
      </w:r>
      <w:proofErr w:type="spellStart"/>
      <w:r w:rsidRPr="000F2C0C">
        <w:rPr>
          <w:rFonts w:ascii="Times New Roman" w:hAnsi="Times New Roman"/>
          <w:lang w:val="ru-RU"/>
        </w:rPr>
        <w:t>мікроклімату</w:t>
      </w:r>
      <w:proofErr w:type="spellEnd"/>
      <w:r w:rsidRPr="000F2C0C">
        <w:rPr>
          <w:rFonts w:ascii="Times New Roman" w:hAnsi="Times New Roman"/>
          <w:lang w:val="ru-RU"/>
        </w:rPr>
        <w:t xml:space="preserve">, </w:t>
      </w:r>
      <w:proofErr w:type="spellStart"/>
      <w:r w:rsidRPr="000F2C0C">
        <w:rPr>
          <w:rFonts w:ascii="Times New Roman" w:hAnsi="Times New Roman"/>
          <w:lang w:val="ru-RU"/>
        </w:rPr>
        <w:t>зниження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рівня</w:t>
      </w:r>
      <w:proofErr w:type="spellEnd"/>
      <w:r w:rsidRPr="000F2C0C">
        <w:rPr>
          <w:rFonts w:ascii="Times New Roman" w:hAnsi="Times New Roman"/>
          <w:lang w:val="ru-RU"/>
        </w:rPr>
        <w:t xml:space="preserve"> шуму, </w:t>
      </w:r>
      <w:proofErr w:type="spellStart"/>
      <w:r w:rsidRPr="000F2C0C">
        <w:rPr>
          <w:rFonts w:ascii="Times New Roman" w:hAnsi="Times New Roman"/>
          <w:lang w:val="ru-RU"/>
        </w:rPr>
        <w:t>належного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утримання</w:t>
      </w:r>
      <w:proofErr w:type="spellEnd"/>
      <w:r w:rsidRPr="000F2C0C">
        <w:rPr>
          <w:rFonts w:ascii="Times New Roman" w:hAnsi="Times New Roman"/>
          <w:lang w:val="ru-RU"/>
        </w:rPr>
        <w:t xml:space="preserve"> та </w:t>
      </w:r>
      <w:proofErr w:type="spellStart"/>
      <w:r w:rsidRPr="000F2C0C">
        <w:rPr>
          <w:rFonts w:ascii="Times New Roman" w:hAnsi="Times New Roman"/>
          <w:lang w:val="ru-RU"/>
        </w:rPr>
        <w:t>раціонального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використання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території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населених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пунктів</w:t>
      </w:r>
      <w:proofErr w:type="spellEnd"/>
      <w:r w:rsidRPr="000F2C0C">
        <w:rPr>
          <w:rFonts w:ascii="Times New Roman" w:hAnsi="Times New Roman"/>
          <w:lang w:val="ru-RU"/>
        </w:rPr>
        <w:t xml:space="preserve">, </w:t>
      </w:r>
      <w:proofErr w:type="spellStart"/>
      <w:r w:rsidRPr="000F2C0C">
        <w:rPr>
          <w:rFonts w:ascii="Times New Roman" w:hAnsi="Times New Roman"/>
          <w:lang w:val="ru-RU"/>
        </w:rPr>
        <w:t>охорони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об’єктів</w:t>
      </w:r>
      <w:proofErr w:type="spellEnd"/>
      <w:r w:rsidRPr="000F2C0C">
        <w:rPr>
          <w:rFonts w:ascii="Times New Roman" w:hAnsi="Times New Roman"/>
          <w:lang w:val="ru-RU"/>
        </w:rPr>
        <w:t xml:space="preserve"> благоустрою, </w:t>
      </w:r>
      <w:proofErr w:type="spellStart"/>
      <w:r w:rsidRPr="000F2C0C">
        <w:rPr>
          <w:rFonts w:ascii="Times New Roman" w:hAnsi="Times New Roman"/>
          <w:lang w:val="ru-RU"/>
        </w:rPr>
        <w:t>виконання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вимог</w:t>
      </w:r>
      <w:proofErr w:type="spellEnd"/>
      <w:r w:rsidRPr="000F2C0C">
        <w:rPr>
          <w:rFonts w:ascii="Times New Roman" w:hAnsi="Times New Roman"/>
          <w:lang w:val="ru-RU"/>
        </w:rPr>
        <w:t xml:space="preserve"> Закону </w:t>
      </w:r>
      <w:proofErr w:type="spellStart"/>
      <w:r w:rsidRPr="000F2C0C">
        <w:rPr>
          <w:rFonts w:ascii="Times New Roman" w:hAnsi="Times New Roman"/>
          <w:lang w:val="ru-RU"/>
        </w:rPr>
        <w:t>України</w:t>
      </w:r>
      <w:proofErr w:type="spellEnd"/>
      <w:r w:rsidRPr="000F2C0C">
        <w:rPr>
          <w:rFonts w:ascii="Times New Roman" w:hAnsi="Times New Roman"/>
          <w:lang w:val="ru-RU"/>
        </w:rPr>
        <w:t xml:space="preserve"> «Про </w:t>
      </w:r>
      <w:proofErr w:type="spellStart"/>
      <w:r w:rsidRPr="000F2C0C">
        <w:rPr>
          <w:rFonts w:ascii="Times New Roman" w:hAnsi="Times New Roman"/>
          <w:lang w:val="ru-RU"/>
        </w:rPr>
        <w:t>благоустрій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населених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пунктів</w:t>
      </w:r>
      <w:proofErr w:type="spellEnd"/>
      <w:r w:rsidRPr="000F2C0C">
        <w:rPr>
          <w:rFonts w:ascii="Times New Roman" w:hAnsi="Times New Roman"/>
          <w:lang w:val="ru-RU"/>
        </w:rPr>
        <w:t xml:space="preserve">», </w:t>
      </w:r>
      <w:proofErr w:type="spellStart"/>
      <w:r w:rsidRPr="000F2C0C">
        <w:rPr>
          <w:rFonts w:ascii="Times New Roman" w:hAnsi="Times New Roman"/>
          <w:lang w:val="ru-RU"/>
        </w:rPr>
        <w:t>вдосконалення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нормативної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бази</w:t>
      </w:r>
      <w:proofErr w:type="spellEnd"/>
      <w:r w:rsidRPr="000F2C0C">
        <w:rPr>
          <w:rFonts w:ascii="Times New Roman" w:hAnsi="Times New Roman"/>
          <w:lang w:val="ru-RU"/>
        </w:rPr>
        <w:t xml:space="preserve">, </w:t>
      </w:r>
      <w:proofErr w:type="spellStart"/>
      <w:r w:rsidRPr="000F2C0C">
        <w:rPr>
          <w:rFonts w:ascii="Times New Roman" w:hAnsi="Times New Roman"/>
          <w:lang w:val="ru-RU"/>
        </w:rPr>
        <w:t>впровадження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державної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регуляторної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політики</w:t>
      </w:r>
      <w:proofErr w:type="spellEnd"/>
      <w:r w:rsidRPr="000F2C0C">
        <w:rPr>
          <w:rFonts w:ascii="Times New Roman" w:hAnsi="Times New Roman"/>
          <w:lang w:val="ru-RU"/>
        </w:rPr>
        <w:t xml:space="preserve"> у </w:t>
      </w:r>
      <w:proofErr w:type="spellStart"/>
      <w:r w:rsidRPr="000F2C0C">
        <w:rPr>
          <w:rFonts w:ascii="Times New Roman" w:hAnsi="Times New Roman"/>
          <w:lang w:val="ru-RU"/>
        </w:rPr>
        <w:t>сфері</w:t>
      </w:r>
      <w:proofErr w:type="spellEnd"/>
      <w:r w:rsidRPr="000F2C0C">
        <w:rPr>
          <w:rFonts w:ascii="Times New Roman" w:hAnsi="Times New Roman"/>
          <w:lang w:val="ru-RU"/>
        </w:rPr>
        <w:t xml:space="preserve"> благоустрою, </w:t>
      </w:r>
      <w:proofErr w:type="spellStart"/>
      <w:r w:rsidRPr="000F2C0C">
        <w:rPr>
          <w:rFonts w:ascii="Times New Roman" w:hAnsi="Times New Roman"/>
          <w:lang w:val="ru-RU"/>
        </w:rPr>
        <w:t>врегулювання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правовідносин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між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суб’єктами</w:t>
      </w:r>
      <w:proofErr w:type="spellEnd"/>
      <w:r w:rsidRPr="000F2C0C">
        <w:rPr>
          <w:rFonts w:ascii="Times New Roman" w:hAnsi="Times New Roman"/>
          <w:lang w:val="ru-RU"/>
        </w:rPr>
        <w:t xml:space="preserve">, на </w:t>
      </w:r>
      <w:proofErr w:type="spellStart"/>
      <w:r w:rsidRPr="000F2C0C">
        <w:rPr>
          <w:rFonts w:ascii="Times New Roman" w:hAnsi="Times New Roman"/>
          <w:lang w:val="ru-RU"/>
        </w:rPr>
        <w:t>яких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розповсюджується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дія</w:t>
      </w:r>
      <w:proofErr w:type="spellEnd"/>
      <w:r w:rsidRPr="000F2C0C">
        <w:rPr>
          <w:rFonts w:ascii="Times New Roman" w:hAnsi="Times New Roman"/>
          <w:lang w:val="ru-RU"/>
        </w:rPr>
        <w:t xml:space="preserve"> регуляторного акту. </w:t>
      </w:r>
      <w:proofErr w:type="spellStart"/>
      <w:r w:rsidRPr="000F2C0C">
        <w:rPr>
          <w:rFonts w:ascii="Times New Roman" w:hAnsi="Times New Roman"/>
          <w:lang w:val="ru-RU"/>
        </w:rPr>
        <w:t>Проведення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єдиної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політики</w:t>
      </w:r>
      <w:proofErr w:type="spellEnd"/>
      <w:r w:rsidRPr="000F2C0C">
        <w:rPr>
          <w:rFonts w:ascii="Times New Roman" w:hAnsi="Times New Roman"/>
          <w:lang w:val="ru-RU"/>
        </w:rPr>
        <w:t xml:space="preserve"> з </w:t>
      </w:r>
      <w:proofErr w:type="spellStart"/>
      <w:r w:rsidRPr="000F2C0C">
        <w:rPr>
          <w:rFonts w:ascii="Times New Roman" w:hAnsi="Times New Roman"/>
          <w:lang w:val="ru-RU"/>
        </w:rPr>
        <w:t>підтримки</w:t>
      </w:r>
      <w:proofErr w:type="spellEnd"/>
      <w:r w:rsidRPr="000F2C0C">
        <w:rPr>
          <w:rFonts w:ascii="Times New Roman" w:hAnsi="Times New Roman"/>
          <w:lang w:val="ru-RU"/>
        </w:rPr>
        <w:t xml:space="preserve"> благоустрою, </w:t>
      </w:r>
      <w:proofErr w:type="spellStart"/>
      <w:r w:rsidRPr="000F2C0C">
        <w:rPr>
          <w:rFonts w:ascii="Times New Roman" w:hAnsi="Times New Roman"/>
          <w:lang w:val="ru-RU"/>
        </w:rPr>
        <w:t>формування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сприятливого</w:t>
      </w:r>
      <w:proofErr w:type="spellEnd"/>
      <w:r w:rsidRPr="000F2C0C">
        <w:rPr>
          <w:rFonts w:ascii="Times New Roman" w:hAnsi="Times New Roman"/>
          <w:lang w:val="ru-RU"/>
        </w:rPr>
        <w:t xml:space="preserve"> для </w:t>
      </w:r>
      <w:proofErr w:type="spellStart"/>
      <w:r w:rsidRPr="000F2C0C">
        <w:rPr>
          <w:rFonts w:ascii="Times New Roman" w:hAnsi="Times New Roman"/>
          <w:lang w:val="ru-RU"/>
        </w:rPr>
        <w:t>життєдіяльності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людини</w:t>
      </w:r>
      <w:proofErr w:type="spellEnd"/>
      <w:r w:rsidRPr="000F2C0C">
        <w:rPr>
          <w:rFonts w:ascii="Times New Roman" w:hAnsi="Times New Roman"/>
          <w:lang w:val="ru-RU"/>
        </w:rPr>
        <w:t xml:space="preserve"> </w:t>
      </w:r>
      <w:proofErr w:type="spellStart"/>
      <w:r w:rsidRPr="000F2C0C">
        <w:rPr>
          <w:rFonts w:ascii="Times New Roman" w:hAnsi="Times New Roman"/>
          <w:lang w:val="ru-RU"/>
        </w:rPr>
        <w:t>середовища</w:t>
      </w:r>
      <w:proofErr w:type="spellEnd"/>
      <w:r w:rsidRPr="000F2C0C">
        <w:rPr>
          <w:rFonts w:ascii="Times New Roman" w:hAnsi="Times New Roman"/>
          <w:lang w:val="ru-RU"/>
        </w:rPr>
        <w:t>.</w:t>
      </w:r>
    </w:p>
    <w:p xmlns:wp14="http://schemas.microsoft.com/office/word/2010/wordml" w:rsidRPr="00A50092" w:rsidR="000F2C0C" w:rsidP="00982546" w:rsidRDefault="000F2C0C" w14:paraId="02EB378F" wp14:textId="77777777">
      <w:pPr>
        <w:ind w:firstLine="708"/>
        <w:jc w:val="both"/>
        <w:rPr>
          <w:rFonts w:ascii="Times New Roman" w:hAnsi="Times New Roman"/>
          <w:lang w:val="uk-UA"/>
        </w:rPr>
      </w:pPr>
    </w:p>
    <w:p xmlns:wp14="http://schemas.microsoft.com/office/word/2010/wordml" w:rsidR="008F6229" w:rsidP="008F6229" w:rsidRDefault="008F6229" w14:paraId="237C4533" wp14:textId="77777777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4. </w:t>
      </w:r>
      <w:r w:rsidRPr="008D1809">
        <w:rPr>
          <w:rFonts w:ascii="Times New Roman" w:hAnsi="Times New Roman"/>
          <w:b/>
          <w:lang w:val="uk-UA"/>
        </w:rPr>
        <w:t>Строк виконання заходів з відстеженням</w:t>
      </w:r>
      <w:r w:rsidRPr="008D1809">
        <w:rPr>
          <w:rFonts w:ascii="Times New Roman" w:hAnsi="Times New Roman"/>
          <w:lang w:val="uk-UA"/>
        </w:rPr>
        <w:t>:</w:t>
      </w:r>
    </w:p>
    <w:p xmlns:wp14="http://schemas.microsoft.com/office/word/2010/wordml" w:rsidR="000F2C0C" w:rsidP="008F6229" w:rsidRDefault="001268AB" w14:paraId="39430755" wp14:textId="77777777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Строк виконання </w:t>
      </w:r>
      <w:r w:rsidR="00F47D28">
        <w:rPr>
          <w:rFonts w:ascii="Times New Roman" w:hAnsi="Times New Roman"/>
          <w:lang w:val="uk-UA"/>
        </w:rPr>
        <w:t>періодичного</w:t>
      </w:r>
      <w:r>
        <w:rPr>
          <w:rFonts w:ascii="Times New Roman" w:hAnsi="Times New Roman"/>
          <w:lang w:val="uk-UA"/>
        </w:rPr>
        <w:t xml:space="preserve"> відстеження</w:t>
      </w:r>
      <w:r w:rsidR="00483AFC">
        <w:rPr>
          <w:rFonts w:ascii="Times New Roman" w:hAnsi="Times New Roman"/>
          <w:lang w:val="uk-UA"/>
        </w:rPr>
        <w:t xml:space="preserve"> з </w:t>
      </w:r>
      <w:r w:rsidRPr="00E64A95" w:rsidR="007D0158">
        <w:rPr>
          <w:rFonts w:ascii="Times New Roman" w:hAnsi="Times New Roman"/>
          <w:lang w:val="uk-UA"/>
        </w:rPr>
        <w:t>01.06.</w:t>
      </w:r>
      <w:r w:rsidR="00BA0691">
        <w:rPr>
          <w:rFonts w:ascii="Times New Roman" w:hAnsi="Times New Roman"/>
          <w:lang w:val="uk-UA"/>
        </w:rPr>
        <w:t>20</w:t>
      </w:r>
      <w:r w:rsidR="00507549">
        <w:rPr>
          <w:rFonts w:ascii="Times New Roman" w:hAnsi="Times New Roman"/>
          <w:lang w:val="uk-UA"/>
        </w:rPr>
        <w:t>25 по 30</w:t>
      </w:r>
      <w:r w:rsidRPr="00E64A95" w:rsidR="007D0158">
        <w:rPr>
          <w:rFonts w:ascii="Times New Roman" w:hAnsi="Times New Roman"/>
          <w:lang w:val="uk-UA"/>
        </w:rPr>
        <w:t>.06.20</w:t>
      </w:r>
      <w:r w:rsidR="00507549">
        <w:rPr>
          <w:rFonts w:ascii="Times New Roman" w:hAnsi="Times New Roman"/>
          <w:lang w:val="uk-UA"/>
        </w:rPr>
        <w:t>25</w:t>
      </w:r>
      <w:r w:rsidR="000F2C0C">
        <w:rPr>
          <w:rFonts w:ascii="Times New Roman" w:hAnsi="Times New Roman"/>
          <w:lang w:val="uk-UA"/>
        </w:rPr>
        <w:t xml:space="preserve"> </w:t>
      </w:r>
    </w:p>
    <w:p xmlns:wp14="http://schemas.microsoft.com/office/word/2010/wordml" w:rsidR="000F2C0C" w:rsidP="008F6229" w:rsidRDefault="000F2C0C" w14:paraId="6A05A809" wp14:textId="77777777">
      <w:pPr>
        <w:jc w:val="both"/>
        <w:rPr>
          <w:rFonts w:ascii="Times New Roman" w:hAnsi="Times New Roman"/>
          <w:lang w:val="uk-UA"/>
        </w:rPr>
      </w:pPr>
    </w:p>
    <w:p xmlns:wp14="http://schemas.microsoft.com/office/word/2010/wordml" w:rsidR="008F6229" w:rsidP="008F6229" w:rsidRDefault="008F6229" w14:paraId="3F5789CD" wp14:textId="77777777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5. </w:t>
      </w:r>
      <w:r w:rsidRPr="008D1809">
        <w:rPr>
          <w:rFonts w:ascii="Times New Roman" w:hAnsi="Times New Roman"/>
          <w:b/>
          <w:lang w:val="uk-UA"/>
        </w:rPr>
        <w:t>Тип відстеження:</w:t>
      </w:r>
      <w:r w:rsidRPr="008D1809">
        <w:rPr>
          <w:rFonts w:ascii="Times New Roman" w:hAnsi="Times New Roman"/>
          <w:lang w:val="uk-UA"/>
        </w:rPr>
        <w:t xml:space="preserve"> </w:t>
      </w:r>
    </w:p>
    <w:p xmlns:wp14="http://schemas.microsoft.com/office/word/2010/wordml" w:rsidRPr="0021529D" w:rsidR="000F2C0C" w:rsidP="5821A3D1" w:rsidRDefault="008F6229" w14:paraId="6B8E781B" wp14:textId="77777777" wp14:noSpellErr="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  <w:r w:rsidRPr="5821A3D1" w:rsidR="008F6229">
        <w:rPr>
          <w:rFonts w:ascii="Times New Roman" w:hAnsi="Times New Roman"/>
          <w:lang w:val="en-US"/>
        </w:rPr>
        <w:t>П</w:t>
      </w:r>
      <w:r w:rsidRPr="5821A3D1" w:rsidR="007C46C9">
        <w:rPr>
          <w:rFonts w:ascii="Times New Roman" w:hAnsi="Times New Roman"/>
          <w:lang w:val="en-US"/>
        </w:rPr>
        <w:t>еріодичне</w:t>
      </w:r>
      <w:r w:rsidRPr="5821A3D1" w:rsidR="00982546">
        <w:rPr>
          <w:rFonts w:ascii="Times New Roman" w:hAnsi="Times New Roman"/>
          <w:lang w:val="en-US"/>
        </w:rPr>
        <w:t>.</w:t>
      </w:r>
      <w:r w:rsidRPr="5821A3D1" w:rsidR="000F2C0C">
        <w:rPr>
          <w:rFonts w:ascii="Times New Roman" w:hAnsi="Times New Roman"/>
          <w:lang w:val="en-US"/>
        </w:rPr>
        <w:t xml:space="preserve"> </w:t>
      </w:r>
      <w:r w:rsidRPr="5821A3D1" w:rsidR="000F2C0C">
        <w:rPr>
          <w:rFonts w:ascii="Times New Roman" w:hAnsi="Times New Roman"/>
          <w:sz w:val="24"/>
          <w:szCs w:val="24"/>
          <w:lang w:val="en-US" w:eastAsia="uk-UA"/>
        </w:rPr>
        <w:t xml:space="preserve">Для проведення періодичного відстеження використовувався один </w:t>
      </w:r>
      <w:r w:rsidRPr="5821A3D1" w:rsidR="000F2C0C">
        <w:rPr>
          <w:rFonts w:ascii="Times New Roman" w:hAnsi="Times New Roman"/>
          <w:sz w:val="24"/>
          <w:szCs w:val="24"/>
          <w:lang w:val="en-US" w:eastAsia="uk-UA"/>
        </w:rPr>
        <w:t>метод одержання результатів відстеження – статистичний.</w:t>
      </w:r>
    </w:p>
    <w:p xmlns:wp14="http://schemas.microsoft.com/office/word/2010/wordml" w:rsidRPr="00183B3E" w:rsidR="000F2C0C" w:rsidP="000F2C0C" w:rsidRDefault="000F2C0C" w14:paraId="5A39BBE3" wp14:textId="77777777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lang w:val="ru-RU" w:eastAsia="uk-UA"/>
        </w:rPr>
      </w:pPr>
    </w:p>
    <w:p xmlns:wp14="http://schemas.microsoft.com/office/word/2010/wordml" w:rsidR="008F6229" w:rsidP="008F6229" w:rsidRDefault="000F2C0C" w14:paraId="54F2B729" wp14:textId="77777777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6</w:t>
      </w:r>
      <w:r w:rsidR="008F6229">
        <w:rPr>
          <w:rFonts w:ascii="Times New Roman" w:hAnsi="Times New Roman"/>
          <w:b/>
          <w:lang w:val="uk-UA"/>
        </w:rPr>
        <w:t xml:space="preserve">. </w:t>
      </w:r>
      <w:r w:rsidRPr="008D1809" w:rsidR="008F6229">
        <w:rPr>
          <w:rFonts w:ascii="Times New Roman" w:hAnsi="Times New Roman"/>
          <w:b/>
          <w:lang w:val="uk-UA"/>
        </w:rPr>
        <w:t xml:space="preserve">Дані та припущення, на основі , яких відстежувалася результативність, а також способи </w:t>
      </w:r>
      <w:r w:rsidR="001268AB">
        <w:rPr>
          <w:rFonts w:ascii="Times New Roman" w:hAnsi="Times New Roman"/>
          <w:b/>
          <w:lang w:val="uk-UA"/>
        </w:rPr>
        <w:t>одержання</w:t>
      </w:r>
      <w:r w:rsidRPr="008D1809" w:rsidR="008F6229">
        <w:rPr>
          <w:rFonts w:ascii="Times New Roman" w:hAnsi="Times New Roman"/>
          <w:b/>
          <w:lang w:val="uk-UA"/>
        </w:rPr>
        <w:t xml:space="preserve"> даних</w:t>
      </w:r>
      <w:r w:rsidR="008F6229">
        <w:rPr>
          <w:rFonts w:ascii="Times New Roman" w:hAnsi="Times New Roman"/>
          <w:b/>
          <w:lang w:val="uk-UA"/>
        </w:rPr>
        <w:t>:</w:t>
      </w:r>
    </w:p>
    <w:p xmlns:wp14="http://schemas.microsoft.com/office/word/2010/wordml" w:rsidR="00C67037" w:rsidP="008F6229" w:rsidRDefault="008F6229" w14:paraId="6D14EED5" wp14:textId="77777777">
      <w:pPr>
        <w:jc w:val="both"/>
        <w:rPr>
          <w:rFonts w:ascii="Times New Roman" w:hAnsi="Times New Roman"/>
          <w:lang w:val="uk-UA"/>
        </w:rPr>
      </w:pPr>
      <w:r w:rsidRPr="00411B8E">
        <w:rPr>
          <w:rFonts w:ascii="Times New Roman" w:hAnsi="Times New Roman"/>
          <w:lang w:val="uk-UA"/>
        </w:rPr>
        <w:t>Відсте</w:t>
      </w:r>
      <w:r>
        <w:rPr>
          <w:rFonts w:ascii="Times New Roman" w:hAnsi="Times New Roman"/>
          <w:lang w:val="uk-UA"/>
        </w:rPr>
        <w:t xml:space="preserve">ження </w:t>
      </w:r>
      <w:r w:rsidR="001268AB">
        <w:rPr>
          <w:rFonts w:ascii="Times New Roman" w:hAnsi="Times New Roman"/>
          <w:lang w:val="uk-UA"/>
        </w:rPr>
        <w:t>результативності здійснювалося шляхом аналізу</w:t>
      </w:r>
      <w:r w:rsidR="00C67037">
        <w:rPr>
          <w:rFonts w:ascii="Times New Roman" w:hAnsi="Times New Roman"/>
          <w:lang w:val="uk-UA"/>
        </w:rPr>
        <w:t xml:space="preserve"> статистичних та аналітичних да</w:t>
      </w:r>
      <w:r w:rsidR="001268AB">
        <w:rPr>
          <w:rFonts w:ascii="Times New Roman" w:hAnsi="Times New Roman"/>
          <w:lang w:val="uk-UA"/>
        </w:rPr>
        <w:t>них</w:t>
      </w:r>
      <w:r w:rsidR="00C67037">
        <w:rPr>
          <w:rFonts w:ascii="Times New Roman" w:hAnsi="Times New Roman"/>
          <w:lang w:val="uk-UA"/>
        </w:rPr>
        <w:t>:</w:t>
      </w:r>
    </w:p>
    <w:p xmlns:wp14="http://schemas.microsoft.com/office/word/2010/wordml" w:rsidR="008F6229" w:rsidP="00F04925" w:rsidRDefault="00C67037" w14:paraId="0044A644" wp14:textId="77777777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ступінь благоустрою та санітарного стану міста</w:t>
      </w:r>
      <w:r w:rsidR="008F6229">
        <w:rPr>
          <w:rFonts w:ascii="Times New Roman" w:hAnsi="Times New Roman"/>
          <w:lang w:val="uk-UA"/>
        </w:rPr>
        <w:t>;</w:t>
      </w:r>
    </w:p>
    <w:p xmlns:wp14="http://schemas.microsoft.com/office/word/2010/wordml" w:rsidR="00C67037" w:rsidP="00F04925" w:rsidRDefault="00C67037" w14:paraId="19967537" wp14:textId="77777777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утримання прилеглих і закріплених територій;</w:t>
      </w:r>
    </w:p>
    <w:p xmlns:wp14="http://schemas.microsoft.com/office/word/2010/wordml" w:rsidR="00C67037" w:rsidP="00F04925" w:rsidRDefault="00C67037" w14:paraId="4EF5A2F7" wp14:textId="77777777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кількість укладених договорів на прибирання та вивезення твердих побутових відходів</w:t>
      </w:r>
      <w:r w:rsidR="00982546">
        <w:rPr>
          <w:rFonts w:ascii="Times New Roman" w:hAnsi="Times New Roman"/>
          <w:lang w:val="uk-UA"/>
        </w:rPr>
        <w:t>;</w:t>
      </w:r>
    </w:p>
    <w:p xmlns:wp14="http://schemas.microsoft.com/office/word/2010/wordml" w:rsidR="00C67037" w:rsidP="00F04925" w:rsidRDefault="00C67037" w14:paraId="5331819D" wp14:textId="77777777">
      <w:pPr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кількість складених протоколів за порушення у сфері благоустрою</w:t>
      </w:r>
      <w:r w:rsidR="00982546">
        <w:rPr>
          <w:rFonts w:ascii="Times New Roman" w:hAnsi="Times New Roman"/>
          <w:lang w:val="uk-UA"/>
        </w:rPr>
        <w:t>.</w:t>
      </w:r>
    </w:p>
    <w:p xmlns:wp14="http://schemas.microsoft.com/office/word/2010/wordml" w:rsidR="000F2C0C" w:rsidP="008F6229" w:rsidRDefault="000F2C0C" w14:paraId="41C8F396" wp14:textId="77777777">
      <w:pPr>
        <w:jc w:val="both"/>
        <w:rPr>
          <w:rFonts w:ascii="Times New Roman" w:hAnsi="Times New Roman"/>
          <w:lang w:val="uk-UA"/>
        </w:rPr>
      </w:pPr>
    </w:p>
    <w:p xmlns:wp14="http://schemas.microsoft.com/office/word/2010/wordml" w:rsidR="008F6229" w:rsidP="008F6229" w:rsidRDefault="000F2C0C" w14:paraId="63C52FCF" wp14:textId="77777777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7</w:t>
      </w:r>
      <w:r w:rsidRPr="00411B8E" w:rsidR="008F6229">
        <w:rPr>
          <w:rFonts w:ascii="Times New Roman" w:hAnsi="Times New Roman"/>
          <w:b/>
          <w:lang w:val="uk-UA"/>
        </w:rPr>
        <w:t>.</w:t>
      </w:r>
      <w:r w:rsidR="00982546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11B8E" w:rsidR="008F6229">
        <w:rPr>
          <w:rFonts w:ascii="Times New Roman" w:hAnsi="Times New Roman"/>
          <w:b/>
          <w:lang w:val="uk-UA"/>
        </w:rPr>
        <w:t>Кількістні</w:t>
      </w:r>
      <w:proofErr w:type="spellEnd"/>
      <w:r w:rsidRPr="00411B8E" w:rsidR="008F6229">
        <w:rPr>
          <w:rFonts w:ascii="Times New Roman" w:hAnsi="Times New Roman"/>
          <w:b/>
          <w:lang w:val="uk-UA"/>
        </w:rPr>
        <w:t xml:space="preserve"> та якісні показники результативності:</w:t>
      </w:r>
    </w:p>
    <w:p xmlns:wp14="http://schemas.microsoft.com/office/word/2010/wordml" w:rsidRPr="00D82867" w:rsidR="00D82867" w:rsidP="00D82867" w:rsidRDefault="00D82867" w14:paraId="72A3D3EC" wp14:textId="77777777">
      <w:pPr>
        <w:rPr>
          <w:rFonts w:ascii="Times New Roman" w:hAnsi="Times New Roman"/>
          <w:lang w:val="ru-RU" w:eastAsia="ru-RU"/>
        </w:rPr>
      </w:pPr>
    </w:p>
    <w:tbl>
      <w:tblPr>
        <w:tblW w:w="9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3130"/>
        <w:gridCol w:w="1501"/>
        <w:gridCol w:w="1476"/>
        <w:gridCol w:w="1559"/>
        <w:gridCol w:w="1843"/>
      </w:tblGrid>
      <w:tr xmlns:wp14="http://schemas.microsoft.com/office/word/2010/wordml" w:rsidRPr="00D82867" w:rsidR="00BA0691" w:rsidTr="00BA0691" w14:paraId="39A3CAD7" wp14:textId="77777777">
        <w:trPr>
          <w:trHeight w:val="578"/>
        </w:trPr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D82867" w:rsidR="00BA0691" w:rsidP="00D82867" w:rsidRDefault="00BA0691" w14:paraId="2F558AF3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b/>
                <w:bCs/>
                <w:lang w:val="uk-UA" w:eastAsia="ru-RU"/>
              </w:rPr>
              <w:t>№ з/п</w:t>
            </w:r>
          </w:p>
        </w:tc>
        <w:tc>
          <w:tcPr>
            <w:tcW w:w="3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D82867" w:rsidR="00BA0691" w:rsidP="00D82867" w:rsidRDefault="00BA0691" w14:paraId="0D37FA2B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b/>
                <w:bCs/>
                <w:lang w:val="uk-UA" w:eastAsia="ru-RU"/>
              </w:rPr>
              <w:t>Найменування</w:t>
            </w:r>
          </w:p>
          <w:p w:rsidRPr="00D82867" w:rsidR="00BA0691" w:rsidP="00D82867" w:rsidRDefault="00BA0691" w14:paraId="6D9E4FB5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b/>
                <w:bCs/>
                <w:lang w:val="uk-UA" w:eastAsia="ru-RU"/>
              </w:rPr>
              <w:t>Показників</w:t>
            </w:r>
          </w:p>
        </w:tc>
        <w:tc>
          <w:tcPr>
            <w:tcW w:w="1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 w:rsidRPr="0021529D" w:rsidR="00BA0691" w:rsidP="0021529D" w:rsidRDefault="00507549" w14:paraId="1FBE425F" wp14:textId="7777777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21529D" w:rsidR="00BA0691" w:rsidP="0021529D" w:rsidRDefault="00BA0691" w14:paraId="73F56A6F" wp14:textId="7777777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29D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0754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21529D" w:rsidR="00BA0691" w:rsidP="0021529D" w:rsidRDefault="00BA0691" w14:paraId="3C04FD3E" wp14:textId="7777777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29D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075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21529D" w:rsidR="00BA0691" w:rsidP="0021529D" w:rsidRDefault="00507549" w14:paraId="3C32F1D6" wp14:textId="7777777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</w:tr>
      <w:tr xmlns:wp14="http://schemas.microsoft.com/office/word/2010/wordml" w:rsidRPr="00D82867" w:rsidR="00BA0691" w:rsidTr="00BA0691" w14:paraId="48A83BFC" wp14:textId="77777777"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Pr="00D82867" w:rsidR="00BA0691" w:rsidP="00D82867" w:rsidRDefault="00BA0691" w14:paraId="0135CBF0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lang w:val="uk-UA" w:eastAsia="ru-RU"/>
              </w:rPr>
              <w:t>1.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Pr="00D838A9" w:rsidR="00BA0691" w:rsidP="00D82867" w:rsidRDefault="00BA0691" w14:paraId="26DE119C" wp14:textId="77777777">
            <w:pPr>
              <w:rPr>
                <w:rFonts w:ascii="Times New Roman" w:hAnsi="Times New Roman"/>
                <w:lang w:val="ru-RU" w:eastAsia="ru-RU"/>
              </w:rPr>
            </w:pPr>
            <w:r w:rsidRPr="00D838A9">
              <w:rPr>
                <w:rFonts w:ascii="Times New Roman" w:hAnsi="Times New Roman"/>
                <w:lang w:val="uk-UA" w:eastAsia="ru-RU"/>
              </w:rPr>
              <w:t>Укладено договорів на вивіз ТПВ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Pr="00D838A9" w:rsidR="00BA0691" w:rsidP="0021529D" w:rsidRDefault="0042335A" w14:paraId="71E46982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900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D838A9" w:rsidR="00BA0691" w:rsidP="0042335A" w:rsidRDefault="0042335A" w14:paraId="62781627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2053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D838A9" w:rsidR="00BA0691" w:rsidP="0021529D" w:rsidRDefault="00327E58" w14:paraId="7BE2AAE0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1077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38A9" w:rsidR="00BA0691" w:rsidP="0021529D" w:rsidRDefault="00864D3A" w14:paraId="1AF7877F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675</w:t>
            </w:r>
          </w:p>
        </w:tc>
      </w:tr>
      <w:tr xmlns:wp14="http://schemas.microsoft.com/office/word/2010/wordml" w:rsidRPr="00D82867" w:rsidR="00BA0691" w:rsidTr="00BA0691" w14:paraId="0C610042" wp14:textId="77777777"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Pr="00D82867" w:rsidR="00BA0691" w:rsidP="00D82867" w:rsidRDefault="00BA0691" w14:paraId="47886996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D82867">
              <w:rPr>
                <w:rFonts w:ascii="Times New Roman" w:hAnsi="Times New Roman"/>
                <w:lang w:val="uk-UA" w:eastAsia="ru-RU"/>
              </w:rPr>
              <w:t>2.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Pr="00D82867" w:rsidR="00BA0691" w:rsidP="00080230" w:rsidRDefault="00080230" w14:paraId="391D97AC" wp14:textId="77777777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Кількість складених </w:t>
            </w:r>
            <w:r w:rsidRPr="00D82867" w:rsidR="00BA0691">
              <w:rPr>
                <w:rFonts w:ascii="Times New Roman" w:hAnsi="Times New Roman"/>
                <w:lang w:val="uk-UA" w:eastAsia="ru-RU"/>
              </w:rPr>
              <w:t xml:space="preserve">протоколів </w:t>
            </w:r>
            <w:r w:rsidR="00BA0691">
              <w:rPr>
                <w:rFonts w:ascii="Times New Roman" w:hAnsi="Times New Roman"/>
                <w:lang w:val="uk-UA" w:eastAsia="ru-RU"/>
              </w:rPr>
              <w:t>щодо порушень Правил благоустрою</w:t>
            </w:r>
            <w:r w:rsidRPr="00D82867" w:rsidR="00BA0691">
              <w:rPr>
                <w:rFonts w:ascii="Times New Roman" w:hAnsi="Times New Roman"/>
                <w:lang w:val="uk-UA" w:eastAsia="ru-RU"/>
              </w:rPr>
              <w:t xml:space="preserve">, </w:t>
            </w:r>
            <w:proofErr w:type="spellStart"/>
            <w:r w:rsidR="007C46C9">
              <w:rPr>
                <w:rFonts w:ascii="Times New Roman" w:hAnsi="Times New Roman"/>
                <w:lang w:val="uk-UA" w:eastAsia="ru-RU"/>
              </w:rPr>
              <w:t>шт</w:t>
            </w:r>
            <w:proofErr w:type="spellEnd"/>
            <w:r w:rsidR="00025735">
              <w:rPr>
                <w:rFonts w:ascii="Times New Roman" w:hAnsi="Times New Roman"/>
                <w:lang w:val="uk-UA" w:eastAsia="ru-RU"/>
              </w:rPr>
              <w:t>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:rsidR="00BA0691" w:rsidP="0021529D" w:rsidRDefault="00864D3A" w14:paraId="4B584315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</w:t>
            </w:r>
          </w:p>
          <w:p w:rsidRPr="00D82867" w:rsidR="00BA0691" w:rsidP="0021529D" w:rsidRDefault="00BA0691" w14:paraId="0D0B940D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BA0691" w:rsidR="00BA0691" w:rsidP="0021529D" w:rsidRDefault="00864D3A" w14:paraId="2322F001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</w:t>
            </w:r>
          </w:p>
          <w:p w:rsidRPr="00D82867" w:rsidR="00BA0691" w:rsidP="0021529D" w:rsidRDefault="00BA0691" w14:paraId="0E27B00A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="00BA0691" w:rsidP="0021529D" w:rsidRDefault="00864D3A" w14:paraId="7B7EFE02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</w:t>
            </w:r>
          </w:p>
          <w:p w:rsidRPr="00D82867" w:rsidR="00BA0691" w:rsidP="0021529D" w:rsidRDefault="00BA0691" w14:paraId="60061E4C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BA0691" w:rsidP="0021529D" w:rsidRDefault="00864D3A" w14:paraId="33113584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</w:t>
            </w:r>
          </w:p>
          <w:p w:rsidRPr="00D82867" w:rsidR="00BA0691" w:rsidP="0021529D" w:rsidRDefault="00BA0691" w14:paraId="44EAFD9C" wp14:textId="77777777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xmlns:wp14="http://schemas.microsoft.com/office/word/2010/wordml" w:rsidR="00D82867" w:rsidP="008F6229" w:rsidRDefault="00D82867" w14:paraId="4B94D5A5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8F6229" w:rsidP="008F6229" w:rsidRDefault="000F2C0C" w14:paraId="01023F26" wp14:textId="77777777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8</w:t>
      </w:r>
      <w:r w:rsidRPr="00FA0D28" w:rsidR="008F6229">
        <w:rPr>
          <w:rFonts w:ascii="Times New Roman" w:hAnsi="Times New Roman"/>
          <w:b/>
          <w:lang w:val="uk-UA"/>
        </w:rPr>
        <w:t>.</w:t>
      </w:r>
      <w:r w:rsidR="00E5681D">
        <w:rPr>
          <w:rFonts w:ascii="Times New Roman" w:hAnsi="Times New Roman"/>
          <w:b/>
          <w:lang w:val="uk-UA"/>
        </w:rPr>
        <w:t xml:space="preserve"> </w:t>
      </w:r>
      <w:r w:rsidRPr="00FA0D28" w:rsidR="008F6229">
        <w:rPr>
          <w:rFonts w:ascii="Times New Roman" w:hAnsi="Times New Roman"/>
          <w:b/>
          <w:lang w:val="uk-UA"/>
        </w:rPr>
        <w:t>Оцінка результатів реалізації регуляторного акту та ступені досягнення визначених цілей:</w:t>
      </w:r>
    </w:p>
    <w:p xmlns:wp14="http://schemas.microsoft.com/office/word/2010/wordml" w:rsidRPr="0021529D" w:rsidR="00106272" w:rsidP="5821A3D1" w:rsidRDefault="000011B5" w14:paraId="54FF9BEB" wp14:textId="77777777" wp14:noSpellErr="1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5821A3D1" w:rsidR="000011B5">
        <w:rPr>
          <w:rFonts w:ascii="Times New Roman" w:hAnsi="Times New Roman"/>
          <w:sz w:val="24"/>
          <w:szCs w:val="24"/>
          <w:shd w:val="clear" w:color="auto" w:fill="F7F7F7"/>
          <w:lang w:val="en-US"/>
        </w:rPr>
        <w:t>Прийняття цього рішення сприяло підвищенню рівня благоустрою міста, забезпеченню належного санітарного стану міських територій, недопущенню ут</w:t>
      </w:r>
      <w:r w:rsidRPr="5821A3D1" w:rsidR="00FC02E6">
        <w:rPr>
          <w:rFonts w:ascii="Times New Roman" w:hAnsi="Times New Roman"/>
          <w:sz w:val="24"/>
          <w:szCs w:val="24"/>
          <w:shd w:val="clear" w:color="auto" w:fill="F7F7F7"/>
          <w:lang w:val="en-US"/>
        </w:rPr>
        <w:t xml:space="preserve">ворення стихійних сміттєзвалищ </w:t>
      </w:r>
      <w:r w:rsidRPr="5821A3D1" w:rsidR="000011B5">
        <w:rPr>
          <w:rFonts w:ascii="Times New Roman" w:hAnsi="Times New Roman"/>
          <w:sz w:val="24"/>
          <w:szCs w:val="24"/>
          <w:shd w:val="clear" w:color="auto" w:fill="F7F7F7"/>
          <w:lang w:val="en-US"/>
        </w:rPr>
        <w:t>та інше, що в цілому покращило санітарний стан та екологію навко</w:t>
      </w:r>
      <w:r w:rsidRPr="5821A3D1" w:rsidR="0021529D">
        <w:rPr>
          <w:rFonts w:ascii="Times New Roman" w:hAnsi="Times New Roman"/>
          <w:sz w:val="24"/>
          <w:szCs w:val="24"/>
          <w:shd w:val="clear" w:color="auto" w:fill="F7F7F7"/>
          <w:lang w:val="en-US"/>
        </w:rPr>
        <w:t>лишнього природного середовища</w:t>
      </w:r>
      <w:r w:rsidRPr="5821A3D1" w:rsidR="00FC02E6">
        <w:rPr>
          <w:rFonts w:ascii="Times New Roman" w:hAnsi="Times New Roman"/>
          <w:sz w:val="24"/>
          <w:szCs w:val="24"/>
          <w:shd w:val="clear" w:color="auto" w:fill="F7F7F7"/>
          <w:lang w:val="en-US"/>
        </w:rPr>
        <w:t>. Т</w:t>
      </w:r>
      <w:r w:rsidRPr="5821A3D1" w:rsidR="0021529D">
        <w:rPr>
          <w:rFonts w:ascii="Times New Roman" w:hAnsi="Times New Roman"/>
          <w:sz w:val="24"/>
          <w:szCs w:val="24"/>
          <w:shd w:val="clear" w:color="auto" w:fill="F7F7F7"/>
          <w:lang w:val="en-US"/>
        </w:rPr>
        <w:t xml:space="preserve">акож </w:t>
      </w:r>
      <w:r w:rsidRPr="5821A3D1" w:rsidR="00982546">
        <w:rPr>
          <w:rFonts w:ascii="Times New Roman" w:hAnsi="Times New Roman"/>
          <w:sz w:val="24"/>
          <w:szCs w:val="24"/>
          <w:lang w:val="en-US"/>
        </w:rPr>
        <w:t xml:space="preserve">спостерігається покращення відношення громадян до </w:t>
      </w:r>
      <w:r w:rsidRPr="5821A3D1" w:rsidR="00D82867">
        <w:rPr>
          <w:rFonts w:ascii="Times New Roman" w:hAnsi="Times New Roman"/>
          <w:sz w:val="24"/>
          <w:szCs w:val="24"/>
          <w:lang w:val="en-US"/>
        </w:rPr>
        <w:t xml:space="preserve">елементів благоустрою загального користування. </w:t>
      </w:r>
    </w:p>
    <w:p xmlns:wp14="http://schemas.microsoft.com/office/word/2010/wordml" w:rsidRPr="0021529D" w:rsidR="00D82867" w:rsidP="5821A3D1" w:rsidRDefault="00F47D28" w14:paraId="63490043" wp14:textId="77777777" wp14:noSpellErr="1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5821A3D1" w:rsidR="00F47D28">
        <w:rPr>
          <w:rFonts w:ascii="Times New Roman" w:hAnsi="Times New Roman"/>
          <w:sz w:val="24"/>
          <w:szCs w:val="24"/>
          <w:lang w:val="en-US"/>
        </w:rPr>
        <w:t>За результатами відстеження дане рішення залишити без змін, а наступне періодичне відстеження провести через три роки.</w:t>
      </w:r>
    </w:p>
    <w:p xmlns:wp14="http://schemas.microsoft.com/office/word/2010/wordml" w:rsidRPr="0021529D" w:rsidR="008F6229" w:rsidP="0021529D" w:rsidRDefault="008F6229" w14:paraId="3DEEC669" wp14:textId="77777777">
      <w:pPr>
        <w:pStyle w:val="a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xmlns:wp14="http://schemas.microsoft.com/office/word/2010/wordml" w:rsidRPr="00D82867" w:rsidR="000F2C0C" w:rsidP="008F6229" w:rsidRDefault="000F2C0C" w14:paraId="3656B9AB" wp14:textId="77777777">
      <w:pPr>
        <w:jc w:val="both"/>
        <w:rPr>
          <w:rFonts w:ascii="Times New Roman" w:hAnsi="Times New Roman"/>
          <w:b/>
          <w:lang w:val="ru-RU"/>
        </w:rPr>
      </w:pPr>
    </w:p>
    <w:p xmlns:wp14="http://schemas.microsoft.com/office/word/2010/wordml" w:rsidR="000F2C0C" w:rsidP="00483AFC" w:rsidRDefault="000F2C0C" w14:paraId="590D69EC" wp14:textId="77777777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</w:t>
      </w:r>
      <w:r w:rsidR="00483AFC">
        <w:rPr>
          <w:rFonts w:ascii="Times New Roman" w:hAnsi="Times New Roman"/>
          <w:b/>
          <w:lang w:val="uk-UA"/>
        </w:rPr>
        <w:t xml:space="preserve">ачальник </w:t>
      </w:r>
      <w:r>
        <w:rPr>
          <w:rFonts w:ascii="Times New Roman" w:hAnsi="Times New Roman"/>
          <w:b/>
          <w:lang w:val="uk-UA"/>
        </w:rPr>
        <w:t>у</w:t>
      </w:r>
      <w:r w:rsidR="00483AFC">
        <w:rPr>
          <w:rFonts w:ascii="Times New Roman" w:hAnsi="Times New Roman"/>
          <w:b/>
          <w:lang w:val="uk-UA"/>
        </w:rPr>
        <w:t>правління</w:t>
      </w:r>
      <w:r>
        <w:rPr>
          <w:rFonts w:ascii="Times New Roman" w:hAnsi="Times New Roman"/>
          <w:b/>
          <w:lang w:val="uk-UA"/>
        </w:rPr>
        <w:t xml:space="preserve"> </w:t>
      </w:r>
      <w:r w:rsidR="00483AFC">
        <w:rPr>
          <w:rFonts w:ascii="Times New Roman" w:hAnsi="Times New Roman"/>
          <w:b/>
          <w:lang w:val="uk-UA"/>
        </w:rPr>
        <w:t>житлово-</w:t>
      </w:r>
    </w:p>
    <w:p xmlns:wp14="http://schemas.microsoft.com/office/word/2010/wordml" w:rsidR="00483AFC" w:rsidP="00483AFC" w:rsidRDefault="00483AFC" w14:paraId="03F9991B" wp14:textId="77777777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комунального господарства</w:t>
      </w:r>
    </w:p>
    <w:p xmlns:wp14="http://schemas.microsoft.com/office/word/2010/wordml" w:rsidR="00483AFC" w:rsidP="00483AFC" w:rsidRDefault="00483AFC" w14:paraId="2D58AFE8" wp14:textId="77777777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Роменської міської ради                     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                     </w:t>
      </w:r>
      <w:r w:rsidR="000F2C0C">
        <w:rPr>
          <w:rFonts w:ascii="Times New Roman" w:hAnsi="Times New Roman"/>
          <w:b/>
          <w:lang w:val="uk-UA"/>
        </w:rPr>
        <w:t>Олена ГРЕБЕНЮК</w:t>
      </w:r>
    </w:p>
    <w:p xmlns:wp14="http://schemas.microsoft.com/office/word/2010/wordml" w:rsidR="004502C2" w:rsidP="00483AFC" w:rsidRDefault="004502C2" w14:paraId="45FB0818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049F31CB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53128261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2486C05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4101652C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4B99056E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1299C43A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4DDBEF00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3461D779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3CF2D8B6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0FB78278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1FC39945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0562CB0E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34CE0A41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2EBF3C5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D98A12B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2946DB82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5997CC1D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110FFD37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B699379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3FE9F23F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1F72F646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08CE6F91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1CDCEAD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BB9E253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23DE523C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52E56223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07547A01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5043CB0F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07459315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537F28F" wp14:textId="77777777">
      <w:pPr>
        <w:jc w:val="both"/>
        <w:rPr>
          <w:rFonts w:ascii="Times New Roman" w:hAnsi="Times New Roman"/>
          <w:b/>
          <w:lang w:val="uk-UA"/>
        </w:rPr>
      </w:pPr>
      <w:bookmarkStart w:name="_GoBack" w:id="0"/>
      <w:bookmarkEnd w:id="0"/>
    </w:p>
    <w:p xmlns:wp14="http://schemas.microsoft.com/office/word/2010/wordml" w:rsidR="00984A09" w:rsidP="00483AFC" w:rsidRDefault="00984A09" w14:paraId="6DFB9E20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70DF9E56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44E871BC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144A5D23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738610EB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37805D2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463F29E8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3B7B4B86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3A0FF5F2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5630AD66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1829076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2BA226A1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17AD93B2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0DE4B5B7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6204FF1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2DBF0D7D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6B62F1B3" wp14:textId="77777777">
      <w:pPr>
        <w:jc w:val="both"/>
        <w:rPr>
          <w:rFonts w:ascii="Times New Roman" w:hAnsi="Times New Roman"/>
          <w:b/>
          <w:lang w:val="uk-UA"/>
        </w:rPr>
      </w:pPr>
    </w:p>
    <w:p xmlns:wp14="http://schemas.microsoft.com/office/word/2010/wordml" w:rsidR="00984A09" w:rsidP="00483AFC" w:rsidRDefault="00984A09" w14:paraId="02F2C34E" wp14:textId="77777777">
      <w:pPr>
        <w:jc w:val="both"/>
        <w:rPr>
          <w:rFonts w:ascii="Times New Roman" w:hAnsi="Times New Roman"/>
          <w:b/>
          <w:lang w:val="uk-UA"/>
        </w:rPr>
      </w:pPr>
    </w:p>
    <w:sectPr w:rsidR="00984A09" w:rsidSect="00F47D28">
      <w:pgSz w:w="11906" w:h="16838" w:orient="portrait"/>
      <w:pgMar w:top="851" w:right="566" w:bottom="1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71A5A"/>
    <w:multiLevelType w:val="hybridMultilevel"/>
    <w:tmpl w:val="5FF23736"/>
    <w:lvl w:ilvl="0" w:tplc="EC60C53C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BBB133B"/>
    <w:multiLevelType w:val="hybridMultilevel"/>
    <w:tmpl w:val="CCBCEB2C"/>
    <w:lvl w:ilvl="0" w:tplc="8D7C72A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29"/>
    <w:rsid w:val="000011B5"/>
    <w:rsid w:val="00025735"/>
    <w:rsid w:val="00080230"/>
    <w:rsid w:val="000A43DD"/>
    <w:rsid w:val="000F2C0C"/>
    <w:rsid w:val="00106272"/>
    <w:rsid w:val="001268AB"/>
    <w:rsid w:val="0016224B"/>
    <w:rsid w:val="00185018"/>
    <w:rsid w:val="0021529D"/>
    <w:rsid w:val="0030170C"/>
    <w:rsid w:val="00327E58"/>
    <w:rsid w:val="003B3075"/>
    <w:rsid w:val="00422FCB"/>
    <w:rsid w:val="0042335A"/>
    <w:rsid w:val="004502C2"/>
    <w:rsid w:val="00483AFC"/>
    <w:rsid w:val="004E11EF"/>
    <w:rsid w:val="00507549"/>
    <w:rsid w:val="005E2BF2"/>
    <w:rsid w:val="006A5FBD"/>
    <w:rsid w:val="007C46C9"/>
    <w:rsid w:val="007D0158"/>
    <w:rsid w:val="00864D3A"/>
    <w:rsid w:val="008A3653"/>
    <w:rsid w:val="008F6229"/>
    <w:rsid w:val="00904089"/>
    <w:rsid w:val="00951D5A"/>
    <w:rsid w:val="00982546"/>
    <w:rsid w:val="00984A09"/>
    <w:rsid w:val="0099402B"/>
    <w:rsid w:val="009A37D6"/>
    <w:rsid w:val="00A3071D"/>
    <w:rsid w:val="00A50092"/>
    <w:rsid w:val="00A64F5E"/>
    <w:rsid w:val="00B37B0C"/>
    <w:rsid w:val="00B749A8"/>
    <w:rsid w:val="00BA0691"/>
    <w:rsid w:val="00BC6753"/>
    <w:rsid w:val="00C67037"/>
    <w:rsid w:val="00CC5CC7"/>
    <w:rsid w:val="00CE5A0E"/>
    <w:rsid w:val="00CE6277"/>
    <w:rsid w:val="00D82867"/>
    <w:rsid w:val="00D838A9"/>
    <w:rsid w:val="00DB2DFC"/>
    <w:rsid w:val="00E53612"/>
    <w:rsid w:val="00E5681D"/>
    <w:rsid w:val="00E64A95"/>
    <w:rsid w:val="00F04925"/>
    <w:rsid w:val="00F47D28"/>
    <w:rsid w:val="00F63AEE"/>
    <w:rsid w:val="00FC02E6"/>
    <w:rsid w:val="5821A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F597D"/>
  <w15:chartTrackingRefBased/>
  <w15:docId w15:val="{71CB3D79-32D3-47AF-A3AB-CCCB1AD4A2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8F6229"/>
    <w:rPr>
      <w:rFonts w:ascii="Calibri" w:hAnsi="Calibri"/>
      <w:sz w:val="24"/>
      <w:szCs w:val="24"/>
      <w:lang w:val="en-US"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1" w:customStyle="1">
    <w:name w:val="Абзац списка1"/>
    <w:basedOn w:val="a"/>
    <w:qFormat/>
    <w:rsid w:val="008F6229"/>
    <w:pPr>
      <w:ind w:left="720"/>
      <w:contextualSpacing/>
    </w:pPr>
  </w:style>
  <w:style w:type="paragraph" w:styleId="stylezakonu" w:customStyle="1">
    <w:name w:val="stylezakonu"/>
    <w:basedOn w:val="a"/>
    <w:rsid w:val="00D8286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00" w:customStyle="1">
    <w:name w:val="a0"/>
    <w:basedOn w:val="a"/>
    <w:rsid w:val="00D8286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3">
    <w:name w:val="Strong"/>
    <w:basedOn w:val="a0"/>
    <w:uiPriority w:val="22"/>
    <w:qFormat/>
    <w:rsid w:val="00D838A9"/>
    <w:rPr>
      <w:b/>
      <w:bCs/>
    </w:rPr>
  </w:style>
  <w:style w:type="paragraph" w:styleId="a4">
    <w:name w:val="No Spacing"/>
    <w:uiPriority w:val="1"/>
    <w:qFormat/>
    <w:rsid w:val="000F2C0C"/>
    <w:rPr>
      <w:rFonts w:ascii="Calibri" w:hAnsi="Calibri" w:eastAsia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0A43DD"/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rsid w:val="000A43D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F677-36DE-4AC9-B0A0-5E347A8318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Reanimator Extreme Edition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MSI</dc:creator>
  <keywords/>
  <lastModifiedBy>місто Ромни</lastModifiedBy>
  <revision>5</revision>
  <lastPrinted>2025-06-27T05:32:00.0000000Z</lastPrinted>
  <dcterms:created xsi:type="dcterms:W3CDTF">2025-06-25T14:22:00.0000000Z</dcterms:created>
  <dcterms:modified xsi:type="dcterms:W3CDTF">2025-06-30T08:54:34.2114261Z</dcterms:modified>
</coreProperties>
</file>