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C5E3" w14:textId="77777777" w:rsidR="00617326" w:rsidRPr="005607C9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14:paraId="15E14785" w14:textId="77777777" w:rsidR="00617326" w:rsidRPr="005607C9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14:paraId="7E8179AD" w14:textId="77777777" w:rsidR="00E75606" w:rsidRPr="005607C9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4825E32C" w14:textId="1D02FEC9" w:rsidR="005776B0" w:rsidRPr="005607C9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7440F8"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22</w:t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7440F8"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4</w:t>
      </w:r>
      <w:r w:rsidR="00617326"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14:paraId="7088FC9A" w14:textId="77777777" w:rsidR="005776B0" w:rsidRPr="005607C9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776B0" w:rsidRPr="005607C9" w14:paraId="524154D3" w14:textId="77777777" w:rsidTr="003F2C74">
        <w:trPr>
          <w:trHeight w:val="609"/>
        </w:trPr>
        <w:tc>
          <w:tcPr>
            <w:tcW w:w="9781" w:type="dxa"/>
          </w:tcPr>
          <w:p w14:paraId="524F962E" w14:textId="55A780FA" w:rsidR="005776B0" w:rsidRPr="005607C9" w:rsidRDefault="005607C9" w:rsidP="003F2C74">
            <w:pPr>
              <w:spacing w:after="120" w:line="276" w:lineRule="auto"/>
              <w:ind w:left="-105" w:right="-10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60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 надання згоди на безоплатну передачу з державної у комунальну власність Роменської міської територіальної громади талонів на пальне</w:t>
            </w:r>
            <w:r w:rsidRPr="00560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5607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p w14:paraId="463837B3" w14:textId="77777777" w:rsidR="005607C9" w:rsidRPr="005607C9" w:rsidRDefault="005607C9" w:rsidP="005607C9">
      <w:pPr>
        <w:spacing w:before="40"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Відповідно до статей 59, 60 Закону України «Про місцеве самоврядування в Україні», Закону України «Про передачу об’єктів права державної та комунальної власності», Положення про порядок передачі об’єктів права державної власності, затвердженого постановою Кабінету Міністрів України від 21.09.1998 № 1482 (зі змінами), Методичних рекомендації щодо розроблення техніко-економічного обґрунтування забезпечення ефективного використання об’єктів права державної та комунальної власності, що пропонується до передачі, затверджених наказом Міністерства економічного розвитку і торгівлі України від 27.12.2013 № 1591, враховуючи лист Роменської районної державної адміністрації – районної військової адміністрації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від 24.03.2026 № 01-33/1721, з метою забезпечення належного використання майна та сталого функціонування систем життєзабезпечення населення громади в осінньо-зимовий період     </w:t>
      </w:r>
    </w:p>
    <w:p w14:paraId="75BDB0A1" w14:textId="77777777" w:rsidR="005607C9" w:rsidRPr="005607C9" w:rsidRDefault="005607C9" w:rsidP="005607C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МІСЬКА РАДА</w:t>
      </w:r>
      <w:r w:rsidRPr="005607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uk-UA" w:eastAsia="ru-RU"/>
        </w:rPr>
        <w:t xml:space="preserve"> 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ВИРІШИЛА:</w:t>
      </w:r>
    </w:p>
    <w:p w14:paraId="092E1231" w14:textId="77777777" w:rsidR="005607C9" w:rsidRPr="005607C9" w:rsidRDefault="005607C9" w:rsidP="005607C9">
      <w:pPr>
        <w:numPr>
          <w:ilvl w:val="0"/>
          <w:numId w:val="3"/>
        </w:numPr>
        <w:tabs>
          <w:tab w:val="clear" w:pos="928"/>
          <w:tab w:val="left" w:pos="851"/>
          <w:tab w:val="num" w:pos="121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Надати згоду на прийняття з державної у комунальну власність Роменської міської територіальної громади окремого індивідуально визначеного майна, а саме:</w:t>
      </w:r>
    </w:p>
    <w:p w14:paraId="477CA576" w14:textId="77777777" w:rsidR="005607C9" w:rsidRPr="005607C9" w:rsidRDefault="005607C9" w:rsidP="005607C9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дизельного палива (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WOG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 талонах в кількості 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24900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літрів на суму 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1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207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899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,00 грн (номенклатурні номери: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WOG-013012021430100 - WOG-013012081480330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);</w:t>
      </w:r>
    </w:p>
    <w:p w14:paraId="13E47A89" w14:textId="77777777" w:rsidR="005607C9" w:rsidRPr="005607C9" w:rsidRDefault="005607C9" w:rsidP="005607C9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дизельного палива (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BVS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 талонах в кількості 9000 літрів на суму 448 200,00 грн (номенклатурні номери: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D1NR272501 - D1NR273400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). </w:t>
      </w:r>
    </w:p>
    <w:p w14:paraId="3F3D8501" w14:textId="77777777" w:rsidR="005607C9" w:rsidRPr="005607C9" w:rsidRDefault="005607C9" w:rsidP="005607C9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2. Взяти зобов’язання використовувати майно, зазначене у пункті 1 цього рішення, за цільовим призначенням, а саме: для забезпечення сталого функціонування об’єктів системи життєзабезпечення населення територіальної громади в осінньо-зимовий період та не відчужувати це майно у приватну власність.  </w:t>
      </w:r>
    </w:p>
    <w:p w14:paraId="362449C9" w14:textId="77777777" w:rsidR="005607C9" w:rsidRPr="005607C9" w:rsidRDefault="005607C9" w:rsidP="005607C9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3.Затвердити техніко-економічне обґрунтування забезпечення ефективного використання об’єктів права державної власності, що передаються в комунальну власність Роменської міської територіальної громади.</w:t>
      </w:r>
    </w:p>
    <w:p w14:paraId="292F765E" w14:textId="77777777" w:rsidR="005607C9" w:rsidRPr="005607C9" w:rsidRDefault="005607C9" w:rsidP="005607C9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Контроль за виконанням рішення покласти на постійну комісію з питань </w:t>
      </w:r>
      <w:r w:rsidRPr="005607C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регламенту, законності, інформаційного простору</w:t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</w:t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5607C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ru-RU"/>
        </w:rPr>
        <w:t>остійну комісію з питань бюджету, економічного розвитку, комунальної власності та регуляторної політики.</w:t>
      </w:r>
    </w:p>
    <w:p w14:paraId="7C64D995" w14:textId="77777777" w:rsidR="00A354F7" w:rsidRPr="005607C9" w:rsidRDefault="00A354F7" w:rsidP="00A354F7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14:paraId="43FC30E6" w14:textId="77777777" w:rsidR="00617326" w:rsidRPr="005607C9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5607C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14:paraId="3CECC67D" w14:textId="77777777" w:rsidR="00372501" w:rsidRPr="005607C9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5607C9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5607C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5607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14:paraId="4693D39F" w14:textId="77777777" w:rsidR="007440F8" w:rsidRPr="005607C9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42FFBC7" w14:textId="77777777" w:rsidR="007440F8" w:rsidRPr="005607C9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2CECB84E" w14:textId="77777777" w:rsidR="007440F8" w:rsidRPr="005607C9" w:rsidRDefault="007440F8" w:rsidP="00A354F7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8012334" w14:textId="77777777" w:rsidR="005607C9" w:rsidRDefault="005607C9" w:rsidP="005607C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60EC2135" w14:textId="17F2226A" w:rsidR="005607C9" w:rsidRPr="005607C9" w:rsidRDefault="005607C9" w:rsidP="005607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ab/>
      </w: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          </w:t>
      </w: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ЗАТВЕРДЖЕНО</w:t>
      </w:r>
    </w:p>
    <w:p w14:paraId="5DC2C924" w14:textId="77777777" w:rsidR="005607C9" w:rsidRPr="005607C9" w:rsidRDefault="005607C9" w:rsidP="005607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                                                                                     </w:t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Рішення міської ради      </w:t>
      </w:r>
    </w:p>
    <w:p w14:paraId="14AB5095" w14:textId="53DC87A7" w:rsidR="005607C9" w:rsidRPr="005607C9" w:rsidRDefault="005607C9" w:rsidP="005607C9">
      <w:pPr>
        <w:spacing w:after="0" w:line="240" w:lineRule="auto"/>
        <w:ind w:firstLine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</w:t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22.04.2026 </w:t>
      </w:r>
    </w:p>
    <w:p w14:paraId="0B3F2A31" w14:textId="77777777" w:rsidR="005607C9" w:rsidRPr="005607C9" w:rsidRDefault="005607C9" w:rsidP="005607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114246E9" w14:textId="77777777" w:rsidR="005607C9" w:rsidRPr="005607C9" w:rsidRDefault="005607C9" w:rsidP="005607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Техніко-економічне обґрунтування </w:t>
      </w:r>
    </w:p>
    <w:p w14:paraId="36A71975" w14:textId="77777777" w:rsidR="005607C9" w:rsidRPr="005607C9" w:rsidRDefault="005607C9" w:rsidP="005607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забезпечення ефективного використання </w:t>
      </w:r>
      <w:proofErr w:type="spellStart"/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обʼєктів</w:t>
      </w:r>
      <w:proofErr w:type="spellEnd"/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права державної власності, що передаються в комунальну власність Роменської міської </w:t>
      </w:r>
    </w:p>
    <w:p w14:paraId="43887BEA" w14:textId="77777777" w:rsidR="005607C9" w:rsidRPr="005607C9" w:rsidRDefault="005607C9" w:rsidP="005607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територіальної громади</w:t>
      </w:r>
    </w:p>
    <w:p w14:paraId="660694C0" w14:textId="77777777" w:rsidR="005607C9" w:rsidRPr="005607C9" w:rsidRDefault="005607C9" w:rsidP="005607C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</w:p>
    <w:p w14:paraId="2585744D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Техніко-економічне обґрунтування забезпечення ефективного використання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обʼєктів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права державної власності, що пропонуються до передачі у комунальну власність Роменської міської територіальної громади Роменського району Сумської області розроблено на виконання вимог Закону України «Про передачу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обʼєктів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права державної та комунальної власності», Положення про порядок передачі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обʼєктів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права державної власності, затвердженого постановою Кабінету Міністрів України від 21 вересня 1998 року № 1482 (із змінами), Методичних рекомендацій щодо розроблення техніко-економічного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обгрунтування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забезпечення ефективного використання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обʼєктів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права державної та комунальної власності, що пропонуються до передачі, затверджених наказом Міністерства економічного розвитку і торгівлі України від 27 грудня 2013 № 1591.</w:t>
      </w:r>
    </w:p>
    <w:p w14:paraId="0BCB6CB1" w14:textId="77777777" w:rsidR="005607C9" w:rsidRPr="005607C9" w:rsidRDefault="005607C9" w:rsidP="005607C9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1</w:t>
      </w: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. Загальна характеристика майна, що передається</w:t>
      </w:r>
    </w:p>
    <w:p w14:paraId="1615770E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До передачі з державної у комунальну власність Роменської міської територіальної громади пропонується державне майно, що перебуває на балансі та у сфері управління Роменської районної державної адміністрації - Роменської районної військової адміністрації (місцезнаходження: бульвар Свободи, 1, м. Ромни, Сумська область, код ЄДРПОУ 04057936).</w:t>
      </w:r>
    </w:p>
    <w:p w14:paraId="508502C4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Окреме індивідуально визначене майно, що передається, включає в себе паливно-мастильні матеріали у вигляді талонів, а саме:</w:t>
      </w:r>
    </w:p>
    <w:p w14:paraId="19C7F944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ahoma" w:eastAsia="Times New Roman" w:hAnsi="Tahoma" w:cs="Tahoma"/>
          <w:color w:val="000000"/>
          <w:sz w:val="24"/>
          <w:szCs w:val="24"/>
          <w:lang w:val="uk-UA" w:eastAsia="uk-UA"/>
        </w:rPr>
        <w:t>﻿﻿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дизельне пальне (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WOG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 - 24900 літрів, загальною вартістю 1 207 899,00 грн;</w:t>
      </w:r>
    </w:p>
    <w:p w14:paraId="27B253F0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ahoma" w:eastAsia="Times New Roman" w:hAnsi="Tahoma" w:cs="Tahoma"/>
          <w:color w:val="000000"/>
          <w:sz w:val="24"/>
          <w:szCs w:val="24"/>
          <w:lang w:val="uk-UA" w:eastAsia="uk-UA"/>
        </w:rPr>
        <w:t>﻿﻿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дизельне пальне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 xml:space="preserve"> 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(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BVS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 - 9000 літрів, загальною вартістю 448200,00 грн.</w:t>
      </w:r>
    </w:p>
    <w:p w14:paraId="7F4AD46F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Загальна вартість майна, що передається, становить 1 656 099,00 грн.</w:t>
      </w:r>
    </w:p>
    <w:p w14:paraId="74C493A4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Власник - Роменська районна державна адміністрація Сумської області.</w:t>
      </w:r>
    </w:p>
    <w:p w14:paraId="3460FB62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Форма власності - державна 1/1.</w:t>
      </w:r>
    </w:p>
    <w:p w14:paraId="07989B5F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Орган управління - Роменська районна державна адміністрація Сумської області.</w:t>
      </w:r>
    </w:p>
    <w:p w14:paraId="048D4AE8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Паливо-мастильні матеріали у талонах є ліквідним майном, не потребують спеціальних умов зберігання, не мають фізичного зносу, придатні для використання за цільовим призначенням та не обтяжені правами третіх осіб.</w:t>
      </w:r>
    </w:p>
    <w:p w14:paraId="3B7F4D05" w14:textId="77777777" w:rsidR="005607C9" w:rsidRPr="005607C9" w:rsidRDefault="005607C9" w:rsidP="005607C9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2. Обґрунтування доцільності здійснення зазначеної передачі</w:t>
      </w:r>
    </w:p>
    <w:p w14:paraId="1DBA8F23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Доцільність передачі окремого індивідуально визначеного майна у комунальну власність Роменської міської територіальної громади зумовлена необхідністю забезпечення сталого функціонування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обʼєктів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життєзабезпечення населення громади в умовах воєнного стану.</w:t>
      </w:r>
    </w:p>
    <w:p w14:paraId="1911EEC9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 умовах постійних ворожих обстрілів енергосистеми України та нестабільної роботи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обʼєднаної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енергетичної мережі, забезпечення безперебійного функціонування критичної інфраструктури Роменської міської територіальної громади є стратегічним пріоритетом.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Збої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у наданні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життєво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важливих послуг населенню можуть призвести до критичних наслідків для санітарно-епідеміологічного стану, соціально-економічної стабільності та безпеки жителів регіону.</w:t>
      </w:r>
    </w:p>
    <w:p w14:paraId="600249EB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3 метою недопущення зупинки роботи ключових систем у періоди відсутності централізованого енергопостачання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обʼєкти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громади оснащені автономними джерелами </w:t>
      </w: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живлення. Наразі на об’єктах критичної інфраструктури Роменської міської територіальної громади обліковується 27 генераторів великої потужності.</w:t>
      </w:r>
    </w:p>
    <w:p w14:paraId="52DA9F5A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 умовах низьких температур у зимовий період та нестабільної роботи енергосистеми забезпечення оперативного доступу до паливно-мастильних матеріалів є критично необхідним для роботи об’єктів критичної інфраструктури Роменської міської територіальної громади.</w:t>
      </w:r>
    </w:p>
    <w:p w14:paraId="28201783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Передача зазначеного майна у комунальну власність дозволить забезпечити його оперативне та адресне використання.</w:t>
      </w:r>
    </w:p>
    <w:p w14:paraId="7232D1EE" w14:textId="77777777" w:rsidR="005607C9" w:rsidRPr="005607C9" w:rsidRDefault="005607C9" w:rsidP="005607C9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3. Визначення джерел фінансування та обсягів витрат для подальшого утримання та використання майна</w:t>
      </w:r>
    </w:p>
    <w:p w14:paraId="22AC9365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Передане майно не потребує фінансування на утримання, зберігання або обслуговування, оскільки паливно-мастильні матеріали передаються у формі талонів.</w:t>
      </w:r>
    </w:p>
    <w:p w14:paraId="519F4DF3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Фінансування використання пального здійснюватиметься в межах затверджених видатків місцевого бюджету Роменської міської територіальної громади, зазначене майно використовуватиметься для виконання покладених на неї завдань.</w:t>
      </w:r>
    </w:p>
    <w:p w14:paraId="677E4F52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Додаткових витрат з державного бюджету або місцевого бюджету у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звʼязку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 передачею майна не передбачається.</w:t>
      </w:r>
    </w:p>
    <w:p w14:paraId="73B5FA24" w14:textId="77777777" w:rsidR="005607C9" w:rsidRPr="005607C9" w:rsidRDefault="005607C9" w:rsidP="005607C9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4. Відповідність функціонального призначення </w:t>
      </w:r>
      <w:proofErr w:type="spellStart"/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обʼєкта</w:t>
      </w:r>
      <w:proofErr w:type="spellEnd"/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передачі завданням органу, якому передається майно</w:t>
      </w:r>
    </w:p>
    <w:p w14:paraId="274A32DD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Функціональне призначення паливно-мастильних матеріалів повністю відповідає завданням та повноваженням Роменської міської територіальної громади, визначеним Законом України «Про місцеве самоврядування в Україні».</w:t>
      </w:r>
    </w:p>
    <w:p w14:paraId="648DFE75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Зазначене майно використовуватиметься для:</w:t>
      </w:r>
    </w:p>
    <w:p w14:paraId="3667B4DB" w14:textId="77777777" w:rsidR="005607C9" w:rsidRPr="005607C9" w:rsidRDefault="005607C9" w:rsidP="005607C9">
      <w:pPr>
        <w:spacing w:after="0" w:line="271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забезпечення роботи комунальної та спеціальної техніки;</w:t>
      </w:r>
    </w:p>
    <w:p w14:paraId="4392140B" w14:textId="77777777" w:rsidR="005607C9" w:rsidRPr="005607C9" w:rsidRDefault="005607C9" w:rsidP="005607C9">
      <w:pPr>
        <w:spacing w:after="0" w:line="271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функціонування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обʼєктів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критичної та соціальної інфраструктури;</w:t>
      </w:r>
    </w:p>
    <w:p w14:paraId="5617C5B5" w14:textId="77777777" w:rsidR="005607C9" w:rsidRPr="005607C9" w:rsidRDefault="005607C9" w:rsidP="005607C9">
      <w:pPr>
        <w:spacing w:after="0" w:line="271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здійснення заходів цивільного захисту населення;</w:t>
      </w:r>
    </w:p>
    <w:p w14:paraId="6908972E" w14:textId="77777777" w:rsidR="005607C9" w:rsidRPr="005607C9" w:rsidRDefault="005607C9" w:rsidP="005607C9">
      <w:pPr>
        <w:spacing w:after="0" w:line="271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ліквідації наслідків надзвичайних ситуацій.</w:t>
      </w:r>
    </w:p>
    <w:p w14:paraId="099CA52B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Наявність палива дозволить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оперативно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реагувати на надзвичайні ситуації, забезпечити функціонування комунальних систем та надати необхідну допомогу мешканцям громади в умовах енергетичної кризи.</w:t>
      </w:r>
    </w:p>
    <w:p w14:paraId="597913D9" w14:textId="77777777" w:rsidR="005607C9" w:rsidRPr="005607C9" w:rsidRDefault="005607C9" w:rsidP="005607C9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5. Прогноз ефективності діяльності </w:t>
      </w:r>
      <w:proofErr w:type="spellStart"/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субʼєкта</w:t>
      </w:r>
      <w:proofErr w:type="spellEnd"/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після здійснення передачі майна</w:t>
      </w:r>
    </w:p>
    <w:p w14:paraId="14FB52A3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Очікується, що після здійснення передачі паливно-мастильних матеріалів у комунальну власність Роменської міської територіальної громади ефективність діяльності органів місцевого самоврядування та комунальних служб зросте за рахунок підвищення оперативності реагування на кризові ситуації.</w:t>
      </w:r>
    </w:p>
    <w:p w14:paraId="089DF2C9" w14:textId="77777777" w:rsidR="005607C9" w:rsidRPr="005607C9" w:rsidRDefault="005607C9" w:rsidP="005607C9">
      <w:pPr>
        <w:spacing w:before="120" w:after="0" w:line="271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</w:pP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Етапи та терміни реалізації</w:t>
      </w: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5525"/>
        <w:gridCol w:w="3115"/>
      </w:tblGrid>
      <w:tr w:rsidR="005607C9" w:rsidRPr="005607C9" w14:paraId="505A70C4" w14:textId="77777777" w:rsidTr="00EE56FE">
        <w:tc>
          <w:tcPr>
            <w:tcW w:w="704" w:type="dxa"/>
          </w:tcPr>
          <w:p w14:paraId="2E77CC02" w14:textId="77777777" w:rsidR="005607C9" w:rsidRPr="005607C9" w:rsidRDefault="005607C9" w:rsidP="005607C9">
            <w:pPr>
              <w:jc w:val="center"/>
              <w:rPr>
                <w:color w:val="000000"/>
                <w:sz w:val="24"/>
                <w:szCs w:val="24"/>
              </w:rPr>
            </w:pPr>
            <w:r w:rsidRPr="005607C9">
              <w:rPr>
                <w:color w:val="000000"/>
                <w:sz w:val="24"/>
                <w:szCs w:val="24"/>
              </w:rPr>
              <w:t>№</w:t>
            </w:r>
          </w:p>
          <w:p w14:paraId="44DA2B0A" w14:textId="77777777" w:rsidR="005607C9" w:rsidRPr="005607C9" w:rsidRDefault="005607C9" w:rsidP="005607C9">
            <w:pPr>
              <w:jc w:val="center"/>
              <w:rPr>
                <w:color w:val="000000"/>
                <w:sz w:val="24"/>
                <w:szCs w:val="24"/>
              </w:rPr>
            </w:pPr>
            <w:r w:rsidRPr="005607C9">
              <w:rPr>
                <w:color w:val="000000"/>
                <w:sz w:val="24"/>
                <w:szCs w:val="24"/>
              </w:rPr>
              <w:t>За/п</w:t>
            </w:r>
          </w:p>
        </w:tc>
        <w:tc>
          <w:tcPr>
            <w:tcW w:w="5525" w:type="dxa"/>
          </w:tcPr>
          <w:p w14:paraId="00B1EEF6" w14:textId="77777777" w:rsidR="005607C9" w:rsidRPr="005607C9" w:rsidRDefault="005607C9" w:rsidP="005607C9">
            <w:pPr>
              <w:jc w:val="center"/>
              <w:rPr>
                <w:color w:val="000000"/>
                <w:sz w:val="24"/>
                <w:szCs w:val="24"/>
              </w:rPr>
            </w:pPr>
            <w:r w:rsidRPr="005607C9">
              <w:rPr>
                <w:color w:val="000000"/>
                <w:sz w:val="24"/>
                <w:szCs w:val="24"/>
              </w:rPr>
              <w:t>Етап</w:t>
            </w:r>
          </w:p>
        </w:tc>
        <w:tc>
          <w:tcPr>
            <w:tcW w:w="3115" w:type="dxa"/>
          </w:tcPr>
          <w:p w14:paraId="4528FC0E" w14:textId="77777777" w:rsidR="005607C9" w:rsidRPr="005607C9" w:rsidRDefault="005607C9" w:rsidP="005607C9">
            <w:pPr>
              <w:jc w:val="center"/>
              <w:rPr>
                <w:color w:val="000000"/>
                <w:sz w:val="24"/>
                <w:szCs w:val="24"/>
              </w:rPr>
            </w:pPr>
            <w:r w:rsidRPr="005607C9">
              <w:rPr>
                <w:color w:val="000000"/>
                <w:sz w:val="24"/>
                <w:szCs w:val="24"/>
              </w:rPr>
              <w:t>Термін реалізації</w:t>
            </w:r>
          </w:p>
        </w:tc>
      </w:tr>
      <w:tr w:rsidR="005607C9" w:rsidRPr="005607C9" w14:paraId="43443778" w14:textId="77777777" w:rsidTr="00EE56FE">
        <w:tc>
          <w:tcPr>
            <w:tcW w:w="704" w:type="dxa"/>
          </w:tcPr>
          <w:p w14:paraId="38A4DFAD" w14:textId="77777777" w:rsidR="005607C9" w:rsidRPr="005607C9" w:rsidRDefault="005607C9" w:rsidP="005607C9">
            <w:pPr>
              <w:jc w:val="center"/>
              <w:rPr>
                <w:color w:val="000000"/>
                <w:sz w:val="24"/>
                <w:szCs w:val="24"/>
              </w:rPr>
            </w:pPr>
            <w:r w:rsidRPr="005607C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5" w:type="dxa"/>
          </w:tcPr>
          <w:p w14:paraId="2825CCD6" w14:textId="77777777" w:rsidR="005607C9" w:rsidRPr="005607C9" w:rsidRDefault="005607C9" w:rsidP="005607C9">
            <w:pPr>
              <w:jc w:val="both"/>
              <w:rPr>
                <w:color w:val="000000"/>
                <w:sz w:val="24"/>
                <w:szCs w:val="24"/>
              </w:rPr>
            </w:pPr>
            <w:r w:rsidRPr="005607C9">
              <w:rPr>
                <w:color w:val="000000"/>
                <w:sz w:val="24"/>
                <w:szCs w:val="24"/>
              </w:rPr>
              <w:t xml:space="preserve">Прийняття майна у комунальну власність, оформлення відповідних облікових документів, визначення відповідальних осіб </w:t>
            </w:r>
          </w:p>
        </w:tc>
        <w:tc>
          <w:tcPr>
            <w:tcW w:w="3115" w:type="dxa"/>
          </w:tcPr>
          <w:p w14:paraId="4D2FF12D" w14:textId="77777777" w:rsidR="005607C9" w:rsidRPr="005607C9" w:rsidRDefault="005607C9" w:rsidP="005607C9">
            <w:pPr>
              <w:jc w:val="center"/>
              <w:rPr>
                <w:color w:val="000000"/>
                <w:sz w:val="24"/>
                <w:szCs w:val="24"/>
              </w:rPr>
            </w:pPr>
            <w:r w:rsidRPr="005607C9">
              <w:rPr>
                <w:color w:val="000000"/>
                <w:sz w:val="24"/>
                <w:szCs w:val="24"/>
              </w:rPr>
              <w:t>Протягом 1-го місяця після передачі майна</w:t>
            </w:r>
          </w:p>
        </w:tc>
      </w:tr>
      <w:tr w:rsidR="005607C9" w:rsidRPr="005607C9" w14:paraId="053A40ED" w14:textId="77777777" w:rsidTr="00EE56FE">
        <w:tc>
          <w:tcPr>
            <w:tcW w:w="704" w:type="dxa"/>
          </w:tcPr>
          <w:p w14:paraId="2B10D48E" w14:textId="77777777" w:rsidR="005607C9" w:rsidRPr="005607C9" w:rsidRDefault="005607C9" w:rsidP="005607C9">
            <w:pPr>
              <w:jc w:val="center"/>
              <w:rPr>
                <w:color w:val="000000"/>
                <w:sz w:val="24"/>
                <w:szCs w:val="24"/>
              </w:rPr>
            </w:pPr>
            <w:r w:rsidRPr="005607C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5" w:type="dxa"/>
          </w:tcPr>
          <w:p w14:paraId="3FB71CE2" w14:textId="77777777" w:rsidR="005607C9" w:rsidRPr="005607C9" w:rsidRDefault="005607C9" w:rsidP="005607C9">
            <w:pPr>
              <w:jc w:val="both"/>
              <w:rPr>
                <w:color w:val="000000"/>
                <w:sz w:val="24"/>
                <w:szCs w:val="24"/>
              </w:rPr>
            </w:pPr>
            <w:r w:rsidRPr="005607C9">
              <w:rPr>
                <w:color w:val="000000"/>
                <w:sz w:val="24"/>
                <w:szCs w:val="24"/>
              </w:rPr>
              <w:t>Цільове використання пального для забезпечення стабільної роботи комунальних служб, резервного енергоживлення та аварійно-відновлювальних заходів.</w:t>
            </w:r>
          </w:p>
        </w:tc>
        <w:tc>
          <w:tcPr>
            <w:tcW w:w="3115" w:type="dxa"/>
          </w:tcPr>
          <w:p w14:paraId="6EDBE703" w14:textId="77777777" w:rsidR="005607C9" w:rsidRPr="005607C9" w:rsidRDefault="005607C9" w:rsidP="005607C9">
            <w:pPr>
              <w:jc w:val="center"/>
              <w:rPr>
                <w:color w:val="000000"/>
                <w:sz w:val="24"/>
                <w:szCs w:val="24"/>
              </w:rPr>
            </w:pPr>
            <w:r w:rsidRPr="005607C9">
              <w:rPr>
                <w:color w:val="000000"/>
                <w:sz w:val="24"/>
                <w:szCs w:val="24"/>
              </w:rPr>
              <w:t>Протягом опалювального та кризових періодів</w:t>
            </w:r>
          </w:p>
        </w:tc>
      </w:tr>
      <w:tr w:rsidR="005607C9" w:rsidRPr="005607C9" w14:paraId="34CDFE90" w14:textId="77777777" w:rsidTr="00EE56FE">
        <w:tc>
          <w:tcPr>
            <w:tcW w:w="704" w:type="dxa"/>
          </w:tcPr>
          <w:p w14:paraId="26D967B1" w14:textId="77777777" w:rsidR="005607C9" w:rsidRPr="005607C9" w:rsidRDefault="005607C9" w:rsidP="005607C9">
            <w:pPr>
              <w:jc w:val="center"/>
              <w:rPr>
                <w:color w:val="000000"/>
                <w:sz w:val="24"/>
                <w:szCs w:val="24"/>
              </w:rPr>
            </w:pPr>
            <w:r w:rsidRPr="005607C9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525" w:type="dxa"/>
          </w:tcPr>
          <w:p w14:paraId="7D6BAF7D" w14:textId="77777777" w:rsidR="005607C9" w:rsidRPr="005607C9" w:rsidRDefault="005607C9" w:rsidP="005607C9">
            <w:pPr>
              <w:jc w:val="both"/>
              <w:rPr>
                <w:color w:val="000000"/>
                <w:sz w:val="24"/>
                <w:szCs w:val="24"/>
              </w:rPr>
            </w:pPr>
            <w:r w:rsidRPr="005607C9">
              <w:rPr>
                <w:color w:val="000000"/>
                <w:sz w:val="24"/>
                <w:szCs w:val="24"/>
              </w:rPr>
              <w:t xml:space="preserve">Зменшення ризиків зупинки об’єктів життєзабезпечення населення та підвищення </w:t>
            </w:r>
            <w:r w:rsidRPr="005607C9">
              <w:rPr>
                <w:color w:val="000000"/>
                <w:sz w:val="24"/>
                <w:szCs w:val="24"/>
              </w:rPr>
              <w:lastRenderedPageBreak/>
              <w:t>загальної стійкості громади до надзвичайних ситуацій</w:t>
            </w:r>
          </w:p>
        </w:tc>
        <w:tc>
          <w:tcPr>
            <w:tcW w:w="3115" w:type="dxa"/>
          </w:tcPr>
          <w:p w14:paraId="27384579" w14:textId="77777777" w:rsidR="005607C9" w:rsidRPr="005607C9" w:rsidRDefault="005607C9" w:rsidP="005607C9">
            <w:pPr>
              <w:jc w:val="center"/>
              <w:rPr>
                <w:color w:val="000000"/>
                <w:sz w:val="24"/>
                <w:szCs w:val="24"/>
              </w:rPr>
            </w:pPr>
            <w:r w:rsidRPr="005607C9">
              <w:rPr>
                <w:color w:val="000000"/>
                <w:sz w:val="24"/>
                <w:szCs w:val="24"/>
              </w:rPr>
              <w:lastRenderedPageBreak/>
              <w:t>постійно</w:t>
            </w:r>
          </w:p>
        </w:tc>
      </w:tr>
    </w:tbl>
    <w:p w14:paraId="5DAB985A" w14:textId="77777777" w:rsidR="005607C9" w:rsidRPr="005607C9" w:rsidRDefault="005607C9" w:rsidP="005607C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1B009DD3" w14:textId="77777777" w:rsidR="005607C9" w:rsidRPr="005607C9" w:rsidRDefault="005607C9" w:rsidP="005607C9">
      <w:pPr>
        <w:spacing w:after="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У результаті реалізації передачі прогнозується забезпечення безперервності надання </w:t>
      </w:r>
      <w:proofErr w:type="spellStart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життєво</w:t>
      </w:r>
      <w:proofErr w:type="spellEnd"/>
      <w:r w:rsidRPr="005607C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необхідних послуг населенню Роменської міської територіальної громади, підвищення рівня безпеки, сталого функціонування критичної інфраструктури та ефективне використання державного майна відповідно до його функціонального призначення.</w:t>
      </w:r>
    </w:p>
    <w:p w14:paraId="01B35510" w14:textId="77777777" w:rsidR="005607C9" w:rsidRPr="005607C9" w:rsidRDefault="005607C9" w:rsidP="005607C9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57D2FD22" w14:textId="77777777" w:rsidR="005607C9" w:rsidRPr="005607C9" w:rsidRDefault="005607C9" w:rsidP="005607C9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5445F5A4" w14:textId="77777777" w:rsidR="005607C9" w:rsidRPr="005607C9" w:rsidRDefault="005607C9" w:rsidP="005607C9">
      <w:pPr>
        <w:widowControl w:val="0"/>
        <w:tabs>
          <w:tab w:val="left" w:pos="709"/>
        </w:tabs>
        <w:suppressAutoHyphens/>
        <w:spacing w:after="120" w:line="276" w:lineRule="auto"/>
        <w:rPr>
          <w:rFonts w:ascii="Times New Roman" w:eastAsia="SimSun" w:hAnsi="Times New Roman" w:cs="Mangal"/>
          <w:b/>
          <w:color w:val="000000"/>
          <w:sz w:val="24"/>
          <w:szCs w:val="24"/>
          <w:lang w:val="uk-UA" w:eastAsia="zh-CN" w:bidi="hi-IN"/>
        </w:rPr>
        <w:sectPr w:rsidR="005607C9" w:rsidRPr="005607C9" w:rsidSect="005607C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607C9">
        <w:rPr>
          <w:rFonts w:ascii="Times New Roman" w:eastAsia="SimSun" w:hAnsi="Times New Roman" w:cs="Mangal"/>
          <w:b/>
          <w:color w:val="000000"/>
          <w:sz w:val="24"/>
          <w:szCs w:val="24"/>
          <w:lang w:val="uk-UA" w:eastAsia="zh-CN" w:bidi="hi-IN"/>
        </w:rPr>
        <w:t xml:space="preserve">Секретар міської ради </w:t>
      </w:r>
      <w:r w:rsidRPr="005607C9">
        <w:rPr>
          <w:rFonts w:ascii="Times New Roman" w:eastAsia="SimSun" w:hAnsi="Times New Roman" w:cs="Mangal"/>
          <w:b/>
          <w:color w:val="000000"/>
          <w:sz w:val="24"/>
          <w:szCs w:val="24"/>
          <w:lang w:val="uk-UA" w:eastAsia="zh-CN" w:bidi="hi-IN"/>
        </w:rPr>
        <w:tab/>
      </w:r>
      <w:r w:rsidRPr="005607C9">
        <w:rPr>
          <w:rFonts w:ascii="Times New Roman" w:eastAsia="SimSun" w:hAnsi="Times New Roman" w:cs="Mangal"/>
          <w:b/>
          <w:color w:val="000000"/>
          <w:sz w:val="24"/>
          <w:szCs w:val="24"/>
          <w:lang w:val="uk-UA" w:eastAsia="zh-CN" w:bidi="hi-IN"/>
        </w:rPr>
        <w:tab/>
      </w:r>
      <w:r w:rsidRPr="005607C9">
        <w:rPr>
          <w:rFonts w:ascii="Times New Roman" w:eastAsia="SimSun" w:hAnsi="Times New Roman" w:cs="Mangal"/>
          <w:b/>
          <w:color w:val="000000"/>
          <w:sz w:val="24"/>
          <w:szCs w:val="24"/>
          <w:lang w:val="uk-UA" w:eastAsia="zh-CN" w:bidi="hi-IN"/>
        </w:rPr>
        <w:tab/>
      </w:r>
      <w:r w:rsidRPr="005607C9">
        <w:rPr>
          <w:rFonts w:ascii="Times New Roman" w:eastAsia="SimSun" w:hAnsi="Times New Roman" w:cs="Mangal"/>
          <w:b/>
          <w:color w:val="000000"/>
          <w:sz w:val="24"/>
          <w:szCs w:val="24"/>
          <w:lang w:val="uk-UA" w:eastAsia="zh-CN" w:bidi="hi-IN"/>
        </w:rPr>
        <w:tab/>
      </w:r>
      <w:r w:rsidRPr="005607C9">
        <w:rPr>
          <w:rFonts w:ascii="Times New Roman" w:eastAsia="SimSun" w:hAnsi="Times New Roman" w:cs="Mangal"/>
          <w:b/>
          <w:color w:val="000000"/>
          <w:sz w:val="24"/>
          <w:szCs w:val="24"/>
          <w:lang w:val="uk-UA" w:eastAsia="zh-CN" w:bidi="hi-IN"/>
        </w:rPr>
        <w:tab/>
      </w:r>
      <w:r w:rsidRPr="005607C9">
        <w:rPr>
          <w:rFonts w:ascii="Times New Roman" w:eastAsia="SimSun" w:hAnsi="Times New Roman" w:cs="Mangal"/>
          <w:b/>
          <w:color w:val="000000"/>
          <w:sz w:val="24"/>
          <w:szCs w:val="24"/>
          <w:lang w:val="uk-UA" w:eastAsia="zh-CN" w:bidi="hi-IN"/>
        </w:rPr>
        <w:tab/>
        <w:t xml:space="preserve">   В’ячеслав ГУБАРЬ</w:t>
      </w:r>
    </w:p>
    <w:p w14:paraId="1AED81D3" w14:textId="77777777" w:rsidR="005607C9" w:rsidRPr="005607C9" w:rsidRDefault="005607C9" w:rsidP="005607C9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14:paraId="249A4F0D" w14:textId="77777777" w:rsidR="005607C9" w:rsidRPr="005607C9" w:rsidRDefault="005607C9" w:rsidP="005607C9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до </w:t>
      </w:r>
      <w:proofErr w:type="spellStart"/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проєкту</w:t>
      </w:r>
      <w:proofErr w:type="spellEnd"/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рішення міської ради</w:t>
      </w:r>
    </w:p>
    <w:p w14:paraId="4ED75F91" w14:textId="77777777" w:rsidR="005607C9" w:rsidRPr="005607C9" w:rsidRDefault="005607C9" w:rsidP="005607C9">
      <w:pPr>
        <w:widowControl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uk-UA"/>
        </w:rPr>
        <w:t>«</w:t>
      </w: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Про надання згоди на безоплатну передачу з державної у</w:t>
      </w:r>
    </w:p>
    <w:p w14:paraId="377A2035" w14:textId="77777777" w:rsidR="005607C9" w:rsidRPr="005607C9" w:rsidRDefault="005607C9" w:rsidP="005607C9">
      <w:pPr>
        <w:widowControl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комунальну власність Роменської міської територіальної громади талонів на пальне</w:t>
      </w:r>
      <w:r w:rsidRPr="005607C9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val="uk-UA"/>
        </w:rPr>
        <w:t>»</w:t>
      </w:r>
    </w:p>
    <w:p w14:paraId="6332659F" w14:textId="77777777" w:rsidR="005607C9" w:rsidRPr="005607C9" w:rsidRDefault="005607C9" w:rsidP="005607C9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1F7172D5" w14:textId="77777777" w:rsidR="005607C9" w:rsidRPr="005607C9" w:rsidRDefault="005607C9" w:rsidP="00560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Допомога держави громадам під час енергетичної кризи є критично важливою для забезпечення життєдіяльності об’єктів критичної інфраструктури та соціальної сфери.</w:t>
      </w:r>
    </w:p>
    <w:p w14:paraId="5E4F28B3" w14:textId="77777777" w:rsidR="005607C9" w:rsidRPr="005607C9" w:rsidRDefault="005607C9" w:rsidP="005607C9">
      <w:pPr>
        <w:spacing w:before="120"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зв’язку з постійними ворожими обстрілами енергосистеми України та нестабільною роботою об’єднаної енергетичної мережі забезпечення безперебійного функціонування критичної інфраструктури територіальної громади є стратегічним пріоритетом.</w:t>
      </w:r>
    </w:p>
    <w:p w14:paraId="1DD93445" w14:textId="77777777" w:rsidR="005607C9" w:rsidRPr="005607C9" w:rsidRDefault="005607C9" w:rsidP="005607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Прийняття у комунальну власність від держави дизельного палива дозволить забезпечити стабільну роботу резервного енергоживлення комунальних служб і об’єктів соціальної сфери, зменшити залежність від централізованих мереж енергопостачання, підвищити стійкість громади та захистити мешканців від перебоїв електропостачання. </w:t>
      </w:r>
    </w:p>
    <w:p w14:paraId="30B6FB5B" w14:textId="77777777" w:rsidR="005607C9" w:rsidRPr="005607C9" w:rsidRDefault="005607C9" w:rsidP="005607C9">
      <w:pPr>
        <w:spacing w:before="120" w:after="120" w:line="264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огляду на викладене, пропонується розглянути цей </w:t>
      </w:r>
      <w:proofErr w:type="spellStart"/>
      <w:r w:rsidRPr="0056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5607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на сесії міської ради у квітні 2026 року.</w:t>
      </w:r>
    </w:p>
    <w:p w14:paraId="76D5A60D" w14:textId="77777777" w:rsidR="005607C9" w:rsidRPr="005607C9" w:rsidRDefault="005607C9" w:rsidP="005607C9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D50324F" w14:textId="77777777" w:rsidR="005607C9" w:rsidRPr="005607C9" w:rsidRDefault="005607C9" w:rsidP="005607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14:paraId="08A70EFE" w14:textId="77777777" w:rsidR="005607C9" w:rsidRPr="005607C9" w:rsidRDefault="005607C9" w:rsidP="005607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14:paraId="0BF6D75B" w14:textId="77777777" w:rsidR="005607C9" w:rsidRPr="005607C9" w:rsidRDefault="005607C9" w:rsidP="005607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17B07090" w14:textId="77777777" w:rsidR="005607C9" w:rsidRPr="005607C9" w:rsidRDefault="005607C9" w:rsidP="005607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14:paraId="66DB081F" w14:textId="77777777" w:rsidR="005607C9" w:rsidRPr="005607C9" w:rsidRDefault="005607C9" w:rsidP="005607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</w:t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</w:t>
      </w:r>
    </w:p>
    <w:p w14:paraId="7BD375DC" w14:textId="77777777" w:rsidR="005607C9" w:rsidRPr="005607C9" w:rsidRDefault="005607C9" w:rsidP="005607C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</w:t>
      </w:r>
      <w:r w:rsidRPr="005607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</w:t>
      </w:r>
    </w:p>
    <w:p w14:paraId="7A5D68A3" w14:textId="77777777" w:rsidR="005607C9" w:rsidRPr="005607C9" w:rsidRDefault="005607C9" w:rsidP="005607C9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6C842ED2" w14:textId="77777777" w:rsidR="005607C9" w:rsidRPr="005607C9" w:rsidRDefault="005607C9" w:rsidP="005607C9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14:paraId="26052700" w14:textId="77777777" w:rsidR="005607C9" w:rsidRPr="005607C9" w:rsidRDefault="005607C9" w:rsidP="005607C9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3EA613DE" w14:textId="2EB5F674" w:rsidR="0085521C" w:rsidRPr="005607C9" w:rsidRDefault="0085521C" w:rsidP="005607C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5607C9" w:rsidSect="005607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873B" w14:textId="77777777" w:rsidR="005E6B6A" w:rsidRDefault="005E6B6A">
      <w:pPr>
        <w:spacing w:after="0" w:line="240" w:lineRule="auto"/>
      </w:pPr>
      <w:r>
        <w:separator/>
      </w:r>
    </w:p>
  </w:endnote>
  <w:endnote w:type="continuationSeparator" w:id="0">
    <w:p w14:paraId="19348997" w14:textId="77777777" w:rsidR="005E6B6A" w:rsidRDefault="005E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10006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6E70" w14:textId="77777777" w:rsidR="005E6B6A" w:rsidRDefault="005E6B6A">
      <w:pPr>
        <w:spacing w:after="0" w:line="240" w:lineRule="auto"/>
      </w:pPr>
      <w:r>
        <w:separator/>
      </w:r>
    </w:p>
  </w:footnote>
  <w:footnote w:type="continuationSeparator" w:id="0">
    <w:p w14:paraId="3837066A" w14:textId="77777777" w:rsidR="005E6B6A" w:rsidRDefault="005E6B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2658C0"/>
    <w:multiLevelType w:val="hybridMultilevel"/>
    <w:tmpl w:val="6C3EF67C"/>
    <w:lvl w:ilvl="0" w:tplc="86C00C80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45298306">
    <w:abstractNumId w:val="14"/>
  </w:num>
  <w:num w:numId="2" w16cid:durableId="553279927">
    <w:abstractNumId w:val="2"/>
  </w:num>
  <w:num w:numId="3" w16cid:durableId="1861115894">
    <w:abstractNumId w:val="4"/>
  </w:num>
  <w:num w:numId="4" w16cid:durableId="1868836045">
    <w:abstractNumId w:val="12"/>
  </w:num>
  <w:num w:numId="5" w16cid:durableId="119619665">
    <w:abstractNumId w:val="1"/>
  </w:num>
  <w:num w:numId="6" w16cid:durableId="289289782">
    <w:abstractNumId w:val="0"/>
  </w:num>
  <w:num w:numId="7" w16cid:durableId="1161699333">
    <w:abstractNumId w:val="8"/>
  </w:num>
  <w:num w:numId="8" w16cid:durableId="1558861444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 w16cid:durableId="1246190368">
    <w:abstractNumId w:val="7"/>
  </w:num>
  <w:num w:numId="10" w16cid:durableId="1308783726">
    <w:abstractNumId w:val="5"/>
  </w:num>
  <w:num w:numId="11" w16cid:durableId="356470488">
    <w:abstractNumId w:val="6"/>
  </w:num>
  <w:num w:numId="12" w16cid:durableId="743575076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1947035461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403454358">
    <w:abstractNumId w:val="11"/>
  </w:num>
  <w:num w:numId="15" w16cid:durableId="231161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98296523">
    <w:abstractNumId w:val="3"/>
  </w:num>
  <w:num w:numId="17" w16cid:durableId="1260288073">
    <w:abstractNumId w:val="9"/>
  </w:num>
  <w:num w:numId="18" w16cid:durableId="1785729042">
    <w:abstractNumId w:val="13"/>
  </w:num>
  <w:num w:numId="19" w16cid:durableId="2090035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B93"/>
    <w:rsid w:val="00044CD3"/>
    <w:rsid w:val="00066003"/>
    <w:rsid w:val="00091346"/>
    <w:rsid w:val="000A3165"/>
    <w:rsid w:val="000A609B"/>
    <w:rsid w:val="000F31DF"/>
    <w:rsid w:val="0024369F"/>
    <w:rsid w:val="0027734A"/>
    <w:rsid w:val="002971DA"/>
    <w:rsid w:val="00315247"/>
    <w:rsid w:val="003446EA"/>
    <w:rsid w:val="00352314"/>
    <w:rsid w:val="00372501"/>
    <w:rsid w:val="003778E6"/>
    <w:rsid w:val="0038075A"/>
    <w:rsid w:val="003B56B4"/>
    <w:rsid w:val="003D00AE"/>
    <w:rsid w:val="003F2C74"/>
    <w:rsid w:val="004038F7"/>
    <w:rsid w:val="00437925"/>
    <w:rsid w:val="004956F2"/>
    <w:rsid w:val="00544BF5"/>
    <w:rsid w:val="005607C9"/>
    <w:rsid w:val="00576195"/>
    <w:rsid w:val="005776B0"/>
    <w:rsid w:val="005E6B6A"/>
    <w:rsid w:val="00600F9F"/>
    <w:rsid w:val="00617326"/>
    <w:rsid w:val="006A0D7E"/>
    <w:rsid w:val="006B2177"/>
    <w:rsid w:val="006C6973"/>
    <w:rsid w:val="006F4F93"/>
    <w:rsid w:val="007440F8"/>
    <w:rsid w:val="00760F9F"/>
    <w:rsid w:val="00780703"/>
    <w:rsid w:val="0078276C"/>
    <w:rsid w:val="007D1DD8"/>
    <w:rsid w:val="007F5099"/>
    <w:rsid w:val="0080653E"/>
    <w:rsid w:val="0085521C"/>
    <w:rsid w:val="008F07BE"/>
    <w:rsid w:val="00920AB0"/>
    <w:rsid w:val="009569A8"/>
    <w:rsid w:val="00962227"/>
    <w:rsid w:val="0097607E"/>
    <w:rsid w:val="00980780"/>
    <w:rsid w:val="009B2EA9"/>
    <w:rsid w:val="009C7612"/>
    <w:rsid w:val="009E4CDF"/>
    <w:rsid w:val="00A354F7"/>
    <w:rsid w:val="00A72E1C"/>
    <w:rsid w:val="00A85BC7"/>
    <w:rsid w:val="00A958F8"/>
    <w:rsid w:val="00B8402B"/>
    <w:rsid w:val="00BB22C3"/>
    <w:rsid w:val="00BD250F"/>
    <w:rsid w:val="00BE0A8A"/>
    <w:rsid w:val="00C22252"/>
    <w:rsid w:val="00C23286"/>
    <w:rsid w:val="00C651E5"/>
    <w:rsid w:val="00CB4FE4"/>
    <w:rsid w:val="00CC57F8"/>
    <w:rsid w:val="00CD4E6E"/>
    <w:rsid w:val="00CE46F4"/>
    <w:rsid w:val="00D06D93"/>
    <w:rsid w:val="00D5797C"/>
    <w:rsid w:val="00D67892"/>
    <w:rsid w:val="00D700A2"/>
    <w:rsid w:val="00DA66A9"/>
    <w:rsid w:val="00E46770"/>
    <w:rsid w:val="00E55225"/>
    <w:rsid w:val="00E75606"/>
    <w:rsid w:val="00EC4BF9"/>
    <w:rsid w:val="00EC51AE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8CF0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ий текст з від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39"/>
    <w:rsid w:val="003807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и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  <w:style w:type="table" w:customStyle="1" w:styleId="1">
    <w:name w:val="Сітка таблиці1"/>
    <w:basedOn w:val="a1"/>
    <w:next w:val="a7"/>
    <w:uiPriority w:val="39"/>
    <w:rsid w:val="005607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6484</Words>
  <Characters>3697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2026-04-15T08:03:00Z</cp:lastPrinted>
  <dcterms:created xsi:type="dcterms:W3CDTF">2026-04-15T08:03:00Z</dcterms:created>
  <dcterms:modified xsi:type="dcterms:W3CDTF">2026-04-15T08:03:00Z</dcterms:modified>
</cp:coreProperties>
</file>