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8A" w:rsidRDefault="00E373F9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               </w:t>
      </w:r>
    </w:p>
    <w:p w:rsidR="0042766D" w:rsidRPr="0042766D" w:rsidRDefault="0042766D" w:rsidP="00427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                 </w:t>
      </w:r>
      <w:r w:rsidRPr="004276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8ED23C6" wp14:editId="4C82480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6D" w:rsidRPr="0042766D" w:rsidRDefault="0042766D" w:rsidP="00427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42766D" w:rsidRPr="0042766D" w:rsidRDefault="0042766D" w:rsidP="0042766D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42766D" w:rsidRPr="0042766D" w:rsidRDefault="0042766D" w:rsidP="00427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2766D" w:rsidRPr="0042766D" w:rsidRDefault="0042766D" w:rsidP="00427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42766D" w:rsidRPr="0042766D" w:rsidRDefault="0042766D" w:rsidP="00427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23"/>
        <w:gridCol w:w="3213"/>
        <w:gridCol w:w="1644"/>
        <w:gridCol w:w="1558"/>
      </w:tblGrid>
      <w:tr w:rsidR="0042766D" w:rsidRPr="0042766D" w:rsidTr="00B04FBA">
        <w:tc>
          <w:tcPr>
            <w:tcW w:w="3223" w:type="dxa"/>
          </w:tcPr>
          <w:p w:rsidR="0042766D" w:rsidRPr="0042766D" w:rsidRDefault="00B04FBA" w:rsidP="004276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18.03</w:t>
            </w:r>
            <w:r w:rsidR="0042766D" w:rsidRPr="0042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3213" w:type="dxa"/>
          </w:tcPr>
          <w:p w:rsidR="0042766D" w:rsidRPr="0042766D" w:rsidRDefault="0042766D" w:rsidP="00427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2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02" w:type="dxa"/>
            <w:gridSpan w:val="2"/>
          </w:tcPr>
          <w:p w:rsidR="0042766D" w:rsidRPr="0042766D" w:rsidRDefault="0042766D" w:rsidP="0042766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2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Pr="0042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r w:rsidR="0043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80</w:t>
            </w:r>
            <w:r w:rsidRPr="0042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42766D" w:rsidRPr="0042766D" w:rsidTr="00B04FBA">
        <w:tblPrEx>
          <w:tblLook w:val="04A0" w:firstRow="1" w:lastRow="0" w:firstColumn="1" w:lastColumn="0" w:noHBand="0" w:noVBand="1"/>
        </w:tblPrEx>
        <w:tc>
          <w:tcPr>
            <w:tcW w:w="8080" w:type="dxa"/>
            <w:gridSpan w:val="3"/>
          </w:tcPr>
          <w:p w:rsidR="0042766D" w:rsidRPr="0042766D" w:rsidRDefault="0042766D" w:rsidP="0042766D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42766D" w:rsidRPr="0042766D" w:rsidRDefault="0042766D" w:rsidP="0042766D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27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Про стан виконання рішення виконавчого комітету міської ради від </w:t>
            </w:r>
            <w:r w:rsidRPr="0042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21.08.2024 № </w:t>
            </w:r>
            <w:r w:rsidRPr="00427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120 «Про затвердження фінансових планів підприємств, що належать до комунальної власності Роменської міської територіальної громади, на</w:t>
            </w:r>
            <w:r w:rsidRPr="0042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7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2025 рік» за підсумками 2025 року</w:t>
            </w:r>
          </w:p>
        </w:tc>
        <w:tc>
          <w:tcPr>
            <w:tcW w:w="1558" w:type="dxa"/>
          </w:tcPr>
          <w:p w:rsidR="0042766D" w:rsidRPr="0042766D" w:rsidRDefault="0042766D" w:rsidP="004276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42766D" w:rsidRPr="0042766D" w:rsidRDefault="0042766D" w:rsidP="004276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42766D" w:rsidRPr="0042766D" w:rsidRDefault="0042766D" w:rsidP="0042766D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пункту 1 та підпункту 6 пункту 3 підрозділу 2 розділу VIII </w:t>
      </w:r>
      <w:r w:rsidRPr="0042766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Регламенту Виконавчого комітету Роменської міської ради, затвердженого рішенням виконавчого комітету міської ради від 18.01.2023 № 17</w:t>
      </w: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 урахуванням Порядку складання, затвердження та контролю виконання фінансових планів комунальних підприємств Роменської міської ради, затвердженого рішенням виконкому від 29.08.2025 № 198, на підставі звітів про виконання фінансових планів за 2025 рік, поданих комунальними підприємствами Роменської міської ради,</w:t>
      </w:r>
    </w:p>
    <w:p w:rsidR="0042766D" w:rsidRPr="0042766D" w:rsidRDefault="0042766D" w:rsidP="0042766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ВИКОНАВЧИЙ КОМІТЕТ МІСЬКОЇ РАДИ ВИРІШИВ:</w:t>
      </w:r>
    </w:p>
    <w:p w:rsidR="0042766D" w:rsidRPr="0042766D" w:rsidRDefault="0042766D" w:rsidP="008E308E">
      <w:pPr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Узяти до відома інформацію Управління економічного розвитку Роменської міської ради про стан виконання рішення виконавчого комітету міської ради від </w:t>
      </w:r>
      <w:r w:rsidRPr="004276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 за підсумками 2025 року (додається).</w:t>
      </w:r>
    </w:p>
    <w:p w:rsidR="0042766D" w:rsidRPr="0042766D" w:rsidRDefault="0042766D" w:rsidP="008E308E">
      <w:pPr>
        <w:numPr>
          <w:ilvl w:val="0"/>
          <w:numId w:val="1"/>
        </w:numPr>
        <w:tabs>
          <w:tab w:val="left" w:pos="851"/>
        </w:tabs>
        <w:spacing w:after="12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42766D" w:rsidRPr="0042766D" w:rsidRDefault="0042766D" w:rsidP="008E308E">
      <w:pPr>
        <w:numPr>
          <w:ilvl w:val="0"/>
          <w:numId w:val="10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посилити контроль за </w:t>
      </w:r>
      <w:bookmarkStart w:id="0" w:name="_GoBack"/>
      <w:bookmarkEnd w:id="0"/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своєчасністю розрахунків за використані енергоносії, сплатою податків та інших обов`язкових платежів;</w:t>
      </w:r>
    </w:p>
    <w:p w:rsidR="0042766D" w:rsidRPr="0042766D" w:rsidRDefault="0042766D" w:rsidP="008E308E">
      <w:pPr>
        <w:numPr>
          <w:ilvl w:val="0"/>
          <w:numId w:val="10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42766D" w:rsidRPr="0042766D" w:rsidRDefault="0042766D" w:rsidP="008E308E">
      <w:pPr>
        <w:numPr>
          <w:ilvl w:val="0"/>
          <w:numId w:val="10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вжити заходів щодо підвищення якості надання робіт та послуг; </w:t>
      </w:r>
    </w:p>
    <w:p w:rsidR="0042766D" w:rsidRPr="0042766D" w:rsidRDefault="0042766D" w:rsidP="008E308E">
      <w:pPr>
        <w:numPr>
          <w:ilvl w:val="0"/>
          <w:numId w:val="10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42766D" w:rsidRPr="0042766D" w:rsidRDefault="0042766D" w:rsidP="008E308E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Зняти з контролю рішення виконавчого комітету міської ради від </w:t>
      </w:r>
      <w:r w:rsidRPr="004276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21.08.2024 № </w:t>
      </w:r>
      <w:r w:rsidRPr="004276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 у зв’язку із закінченням терміну дії.</w:t>
      </w:r>
    </w:p>
    <w:p w:rsidR="0042766D" w:rsidRPr="0042766D" w:rsidRDefault="0042766D" w:rsidP="0042766D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766D" w:rsidRPr="0042766D" w:rsidRDefault="0042766D" w:rsidP="0042766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766D" w:rsidRPr="0042766D" w:rsidRDefault="0042766D" w:rsidP="00427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</w:t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76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42766D" w:rsidRPr="0042766D" w:rsidRDefault="0042766D" w:rsidP="0042766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2458A" w:rsidRDefault="00C2458A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634C" w:rsidRPr="0046634C" w:rsidRDefault="0046634C" w:rsidP="00C24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ІНФОРМАЦІЯ</w:t>
      </w:r>
    </w:p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стан виконання рішення викон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авчого комітету міської ради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від </w:t>
      </w:r>
      <w:r w:rsidRPr="005F1A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21.08.2024 № </w:t>
      </w: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E5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 підсумками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2025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року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Рішенням виконавч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комітету міської ради від 21.08.2024 № 120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затверджено фінансові плани </w:t>
      </w:r>
      <w:r w:rsidR="006306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2025</w:t>
      </w:r>
      <w:r w:rsidR="006306FE"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комунальних підприємств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аналіз звітів про виконання як</w:t>
      </w:r>
      <w:r w:rsidR="007E5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их за підсумками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наведено далі. </w:t>
      </w:r>
    </w:p>
    <w:p w:rsidR="00C525DB" w:rsidRPr="00987AAD" w:rsidRDefault="00C525DB" w:rsidP="00C525D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7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</w:t>
      </w:r>
      <w:proofErr w:type="spellStart"/>
      <w:r w:rsidRPr="00987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Ромникомунтепло</w:t>
      </w:r>
      <w:proofErr w:type="spellEnd"/>
      <w:r w:rsidRPr="00987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Роменської міської ради»</w:t>
      </w:r>
    </w:p>
    <w:p w:rsidR="00C525DB" w:rsidRPr="00B04FBA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Комунальне підприємство «</w:t>
      </w:r>
      <w:proofErr w:type="spellStart"/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Ромникомунтепло</w:t>
      </w:r>
      <w:proofErr w:type="spellEnd"/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» Роменської міської ради» здійснює діяльність із забезпечення споживачів міста послугами з постачання теплової енергії та гарячої води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. </w:t>
      </w:r>
    </w:p>
    <w:p w:rsidR="00C525DB" w:rsidRPr="006D5227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Середньооблікова кількість штатних працівників підприємства – 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79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6306FE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тому числ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адміністративний персонал – 2</w:t>
      </w:r>
      <w:r w:rsidR="006D5227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особа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робітники – 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6306FE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3"/>
        <w:gridCol w:w="1258"/>
        <w:gridCol w:w="1294"/>
        <w:gridCol w:w="3223"/>
      </w:tblGrid>
      <w:tr w:rsidR="003F2015" w:rsidRPr="003A4BF6" w:rsidTr="00037841"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F2015" w:rsidRPr="003A4BF6" w:rsidTr="00F20162">
        <w:tc>
          <w:tcPr>
            <w:tcW w:w="3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17 072,2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136EFD" w:rsidP="00136E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926,9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B04FBA" w:rsidRDefault="009D3DEF" w:rsidP="006D52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ідхилення </w:t>
            </w:r>
            <w:r w:rsidR="00E56AAB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обумовлено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D5227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підвищенням мінімального розміру заробітної плати та прожиткового мінімуму для працездатних осіб </w:t>
            </w: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17 350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18 910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B04FBA" w:rsidRDefault="00ED2DE7" w:rsidP="00E56A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</w:t>
            </w:r>
            <w:r w:rsidR="00E56AAB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підвищенням мінімального розміру заробітної плати та прожиткового мінімуму для працездатних осіб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витрат від звичайної діяльності,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в т. ч.: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85 384,3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87 455,8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81 649,9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82 515,0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6306FE" w:rsidRDefault="00ED2DE7" w:rsidP="00567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567627" w:rsidRP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собівартості </w:t>
            </w:r>
            <w:r w:rsid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 </w:t>
            </w:r>
            <w:r w:rsidR="00567627" w:rsidRP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зумовлене збільшенням операційних витрат, зокрема внаслідок підви</w:t>
            </w:r>
            <w:r w:rsid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щення тарифів на електроенергію</w:t>
            </w: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3 734,4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4 233,9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4FBA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482,2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азначені видатки не були передбачені початковим фінансовим планом.</w:t>
            </w:r>
          </w:p>
        </w:tc>
      </w:tr>
      <w:tr w:rsidR="00B04FBA" w:rsidRPr="003A4BF6" w:rsidTr="00B04FBA"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lastRenderedPageBreak/>
              <w:br w:type="page"/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6306FE" w:rsidRDefault="00475145" w:rsidP="0047514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Основними чинниками відхилення стали: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F2015"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лікарняних та </w:t>
            </w: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нарахування</w:t>
            </w:r>
            <w:r w:rsidR="003F2015"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них, перерахування на профспілкову організацію 0,3% від фонду оплати праці</w:t>
            </w: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9D3DEF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146A55" w:rsidP="00146A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фактичні видатки на </w:t>
            </w:r>
            <w:r w:rsid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іквідаці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незавершених капітальних інвестицій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888,0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929,3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6D52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Виручка від реалізації </w:t>
            </w:r>
            <w:r w:rsidR="006D5227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</w:t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108 381,1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6E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111 142,3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 податок на додану вартість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18 063,5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18 523,7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ч.: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90 317,6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92 618,6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136EFD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uk-UA" w:eastAsia="ru-RU"/>
              </w:rPr>
            </w:pPr>
          </w:p>
        </w:tc>
      </w:tr>
      <w:tr w:rsidR="003F2015" w:rsidRPr="004975DE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88 817,6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82 899,7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7 508,4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ED2DE7" w:rsidP="00146A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146A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46A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рахунок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отримання гуманітарної технічної допомоги та  фінансової допомоги з місцевого бюджету</w:t>
            </w:r>
          </w:p>
        </w:tc>
      </w:tr>
      <w:tr w:rsidR="003F2015" w:rsidRPr="0090638F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2 210,5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146A55" w:rsidRDefault="00ED2DE7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перевищення планового показника внаслідок </w:t>
            </w:r>
            <w:r w:rsidR="00146A55" w:rsidRPr="00146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зростання обсягу нарахованої амортизації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="00146A55" w:rsidRPr="00146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розширення матеріально-технічної бази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+4 045,3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+4 233,5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3A4BF6" w:rsidRDefault="00C525DB" w:rsidP="006306FE">
      <w:pPr>
        <w:spacing w:after="0"/>
        <w:ind w:firstLine="567"/>
        <w:jc w:val="both"/>
        <w:rPr>
          <w:lang w:val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2025 р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 підприємство отримало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доходи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618,6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</w:t>
      </w:r>
      <w:r w:rsidR="00862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становить 102,5% від запланованого показника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˗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90 317,6</w:t>
      </w:r>
      <w:r w:rsidR="00862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грн.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операційні д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оходи планувалися в обсязі 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300,0</w:t>
      </w: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</w:t>
      </w:r>
      <w:r w:rsidR="00FB4A6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грн, фактично отримано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                 </w:t>
      </w: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7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508,4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грн</w:t>
      </w:r>
      <w:r w:rsidR="004F382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 П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еревиконання відбулося 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отримання гуманітарної допомоги та фінансової допомоги з місцевого бюджету.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Інші доходи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перевиконано на 1 010,5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 (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амортизація на безоплатно отримані основні засоби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 витрат підприємства за звітний період становить 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87 455,8 тис. грн, що на 2,4% більше за плановий показник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8,4%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перевищує показник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минул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3F2015" w:rsidP="006306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итрати на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закупівлю природного газу 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11,5% менше за плановий показник (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заплановано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49 269,3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фактично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43 579,9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грн), за рахунок зменшення споживання палива.</w:t>
      </w:r>
    </w:p>
    <w:p w:rsidR="00C525DB" w:rsidRPr="003A4BF6" w:rsidRDefault="002A1B5F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на оплату с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пожи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тої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перевищили плановий показник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2 660,1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D3DEF" w:rsidRPr="009D3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3DE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(заплановано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8 200,1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факт</w:t>
      </w:r>
      <w:r w:rsidR="00567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ично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10 860,2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грн). Причиною цього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стало зроста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ння тарифу на електроенергію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(при запланованій вартості активної електричної енергії  6,5196 грн/кВт*год фактична середня ціна склала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9,62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грн/кВт*год). 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Фонд оплати праці за звітний період становить 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17 926,9</w:t>
      </w:r>
      <w:r w:rsidR="004129E2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 (враховуючи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сумісників), що на 5%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більше від запланованого показника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(17</w:t>
      </w:r>
      <w:r w:rsidR="00B556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072</w:t>
      </w:r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,2 тис</w:t>
      </w:r>
      <w:r w:rsidR="009751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="009751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60741" w:rsidRDefault="001D61BF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Інші операційні витрати у звітному періоді склали 2 991,5 тис. грн 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планово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показнику 3 020,2 тис. грн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60741" w:rsidRP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азначені видатки не були передбачені початковим фінансовим планом. Основними чинниками відхилення стали: оплата лікарняних та нарахування на них, перерахування на профспілкову організацію 0,3% від фонду оплати праці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16E8E" w:rsidRPr="00916E8E" w:rsidRDefault="00160741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Станом на 01.01.2026</w:t>
      </w:r>
      <w:r w:rsidR="00916E8E"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дебіторська заборгованість складає 29 678,8 тис. грн, в т. ч. за теплову енергію – 29 587,3 тис. грн (населення – 25 837,0 тис. грн, бюджетні установи –                           1 628,1 тис. грн, інші споживачі – 2 122,2 тис. грн).</w:t>
      </w:r>
    </w:p>
    <w:p w:rsidR="00916E8E" w:rsidRDefault="00916E8E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Кредиторська заборгованість підприємства на 01.01.2026 склала 21 984,0 тис. грн, у тому числі: борг за природний газ – 21 546,8 тис. грн, за електроенергію – 386,6 тис. грн. При цьому, реструктуризації підпадає заборгованість за природний газ у сумі  13 157,5 тис. грн (договір </w:t>
      </w:r>
      <w:r w:rsidR="00897E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укладено</w:t>
      </w: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7 років), поточна заборгованість (за грудень 2025</w:t>
      </w:r>
      <w:r w:rsidR="00897E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–  8 395,28 тис. грн.</w:t>
      </w:r>
    </w:p>
    <w:p w:rsidR="00C525DB" w:rsidRDefault="00916E8E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діяльності у 2025 році підприємство отримало чистий прибуток у сумі 4 233,5 тис. грн, що становить 104,6% від запланованого показника (4 045,3 тис. грн).</w:t>
      </w:r>
    </w:p>
    <w:p w:rsidR="005D448F" w:rsidRPr="00916E8E" w:rsidRDefault="005D448F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25DB" w:rsidRPr="00167CBC" w:rsidRDefault="00C525DB" w:rsidP="00C525DB">
      <w:pPr>
        <w:spacing w:after="15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</w:t>
      </w:r>
      <w:proofErr w:type="spellStart"/>
      <w:r w:rsidRPr="001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Ромнитеплосервіс</w:t>
      </w:r>
      <w:proofErr w:type="spellEnd"/>
      <w:r w:rsidRPr="001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Роменської міської ради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>Комунальне підприємство «</w:t>
      </w:r>
      <w:proofErr w:type="spellStart"/>
      <w:r w:rsidRPr="00C43062">
        <w:rPr>
          <w:rFonts w:ascii="Times New Roman" w:hAnsi="Times New Roman"/>
          <w:sz w:val="24"/>
          <w:szCs w:val="24"/>
          <w:lang w:val="uk-UA"/>
        </w:rPr>
        <w:t>Ромнитеплосервіс</w:t>
      </w:r>
      <w:proofErr w:type="spellEnd"/>
      <w:r w:rsidRPr="00C43062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 здійснює діяльність із забезпечення споживачів міста послугами централізованого теплопостачання. 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штатн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 працівників підприємства – 12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осіб, у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 числі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адміністративний персонал – 6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осіб, робітники – 6 осіб.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7"/>
        <w:gridCol w:w="1250"/>
        <w:gridCol w:w="1210"/>
        <w:gridCol w:w="3631"/>
      </w:tblGrid>
      <w:tr w:rsidR="00C525DB" w:rsidRPr="00C43062" w:rsidTr="00232C0A"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232C0A"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525DB" w:rsidRPr="00C43062" w:rsidTr="00232C0A"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A7881" w:rsidRPr="009A7881" w:rsidTr="00A22892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393,9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395,0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штатного працівника,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F62A4" w:rsidRDefault="00ED2DE7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підвищенням мінімального розміру заробітної плати</w:t>
            </w:r>
            <w:r w:rsid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в </w:t>
            </w:r>
            <w:proofErr w:type="spellStart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345,5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10AC3" w:rsidRDefault="00410AC3" w:rsidP="00410AC3">
            <w:pPr>
              <w:pStyle w:val="ac"/>
              <w:jc w:val="both"/>
              <w:rPr>
                <w:lang w:val="uk-UA"/>
              </w:rPr>
            </w:pPr>
            <w:r w:rsidRPr="00410AC3">
              <w:rPr>
                <w:color w:val="000000"/>
                <w:lang w:val="uk-UA"/>
              </w:rPr>
              <w:t>відхилення за рахунок</w:t>
            </w:r>
            <w:r w:rsidR="009A7881" w:rsidRPr="00410AC3">
              <w:rPr>
                <w:color w:val="000000"/>
                <w:lang w:val="uk-UA"/>
              </w:rPr>
              <w:t xml:space="preserve"> </w:t>
            </w:r>
            <w:r w:rsidRPr="00410AC3">
              <w:rPr>
                <w:color w:val="000000"/>
                <w:lang w:val="uk-UA"/>
              </w:rPr>
              <w:t>збільшення</w:t>
            </w:r>
            <w:r w:rsidRPr="00410AC3">
              <w:rPr>
                <w:lang w:val="uk-UA"/>
              </w:rPr>
              <w:t xml:space="preserve"> обсягів споживання природного газу та суттєвого зростання вартості електроенергії, </w:t>
            </w:r>
            <w:r>
              <w:rPr>
                <w:lang w:val="uk-UA"/>
              </w:rPr>
              <w:t>по</w:t>
            </w:r>
            <w:r w:rsidRPr="00410AC3">
              <w:rPr>
                <w:lang w:val="uk-UA"/>
              </w:rPr>
              <w:t>дорожчанням сировини, комплектуючих та отриманих послуг від сторонніх організацій</w:t>
            </w: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423,1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299,6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10" w:rsidRDefault="004B5610" w:rsidP="004B56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сновними чинниками відхилення є: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4B5610" w:rsidRPr="00C43062" w:rsidRDefault="004B5610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понадлімітне споживання природного газу, зумовлене </w:t>
            </w:r>
          </w:p>
        </w:tc>
      </w:tr>
      <w:tr w:rsidR="00B04FBA" w:rsidRPr="00C43062" w:rsidTr="00B04FBA"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04FBA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технологічними потребами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зміною температурних режимів;</w:t>
            </w:r>
          </w:p>
          <w:p w:rsidR="00B04FBA" w:rsidRDefault="00B04FBA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розбіжність між вартістю енергоносіїв та матеріалів, закладених у діючий тариф, і фактичними ринковими цінами у звітному періоді</w:t>
            </w: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323,8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486,8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4B5610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9A7881" w:rsidRPr="009A7881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674,7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80,0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917,0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775A76" w:rsidP="004B56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перевищення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D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планового показника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обумовлене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нарахуванням та сплатою штрафних санкцій, пені та неустойки за невиконання (або несвоєчасне виконання) договірних чи податкових зобов’язань у звітному періоді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A27B7A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585,6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4B5610" w:rsidP="004B56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ідхилення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 рахунок 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фактичн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ого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збільшенням обсягів надання послуг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їх собівартості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податок на додану вартість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335,0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у </w:t>
            </w:r>
            <w:proofErr w:type="spellStart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.: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870,6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A7881" w:rsidRPr="00FB4A63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277,0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410,5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90638F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775A76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</w:t>
            </w:r>
            <w:r w:rsidR="00ED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  <w:r w:rsidRPr="007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фінансової підтримки з місцевого бюджету для забезпечення стабільної діяльності підприємства</w:t>
            </w:r>
          </w:p>
        </w:tc>
      </w:tr>
      <w:tr w:rsidR="009A7881" w:rsidRPr="004975D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593,6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537,6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C24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E66BE5">
        <w:trPr>
          <w:trHeight w:val="753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Чистий  прибуток (+), збиток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br/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(-),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403AB5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9A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302,6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-2</w:t>
            </w:r>
            <w:r w:rsidR="0013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223,4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9D3DEF" w:rsidRDefault="00C525DB" w:rsidP="00F201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підсумками 2025 року дохід підприємства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19 122,1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в т. ч. до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хі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 від наданих послуг – 13 410,5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грн,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основних засоб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 комунальної власності –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537,6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Default="00C525DB" w:rsidP="00F201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рати з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звітний період склали 21 345,5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при плановому показнику 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15 568,0 тис. грн.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Основні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статті витрат: матеріали – 713,3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електроенергія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2 363,5 тис. грн, газ – 11 420,9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грн, заробітна плата – 3 395,0</w:t>
      </w:r>
      <w:r w:rsidR="003104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соціальні заходи –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658,6 тис.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– 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038,9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 інші витрати – 917,0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грн, інші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операційні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838,3</w:t>
      </w:r>
      <w:r w:rsidR="003061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</w:p>
    <w:p w:rsidR="00E916D5" w:rsidRPr="00E916D5" w:rsidRDefault="009D3DEF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</w:t>
      </w:r>
      <w:r w:rsid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Дебіторська заборгованість по КП «</w:t>
      </w:r>
      <w:proofErr w:type="spellStart"/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Ромнитеплосервіс</w:t>
      </w:r>
      <w:proofErr w:type="spellEnd"/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РМР станом 01.01.2026 с</w:t>
      </w:r>
      <w:r w:rsidR="00F201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тановить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814,8 тис. грн, в т.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ч.: населення – 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667,8 тис. грн, установи місцевого бюджету – попередня оплата 153,3 тис. грн, установи державного бюджету – попередня оплата – 30,8 тис. грн, інші споживачі – 331,1 тис. грн.</w:t>
      </w:r>
    </w:p>
    <w:p w:rsidR="00C525DB" w:rsidRPr="00E916D5" w:rsidRDefault="00E916D5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751BB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Кредиторська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заборгованість по КП «</w:t>
      </w:r>
      <w:proofErr w:type="spellStart"/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Ромнитеплосервіс</w:t>
      </w:r>
      <w:proofErr w:type="spellEnd"/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РМР станом 01.01.2026 </w:t>
      </w:r>
      <w:r w:rsidR="00F201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462,1 тис. грн, в т.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ч.: за природний газ – 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965,6 тис. грн., з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електроенергію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489,1 тис. грн, за водопостачання – 3,7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інша заборгованість – 3,7 тис. грн.</w:t>
      </w:r>
    </w:p>
    <w:p w:rsidR="00C525DB" w:rsidRPr="00C43062" w:rsidRDefault="00C525DB" w:rsidP="009D3DEF">
      <w:pPr>
        <w:pStyle w:val="ae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C43062">
        <w:rPr>
          <w:sz w:val="24"/>
          <w:szCs w:val="24"/>
          <w:lang w:val="uk-UA"/>
        </w:rPr>
        <w:t>Капітальні інвестиці</w:t>
      </w:r>
      <w:r w:rsidR="007E1684">
        <w:rPr>
          <w:sz w:val="24"/>
          <w:szCs w:val="24"/>
          <w:lang w:val="uk-UA"/>
        </w:rPr>
        <w:t>ї в звітному періоді склали 758,3</w:t>
      </w:r>
      <w:r w:rsidRPr="00C43062">
        <w:rPr>
          <w:sz w:val="24"/>
          <w:szCs w:val="24"/>
          <w:lang w:val="uk-UA"/>
        </w:rPr>
        <w:t xml:space="preserve"> тис.</w:t>
      </w:r>
      <w:r>
        <w:rPr>
          <w:sz w:val="24"/>
          <w:szCs w:val="24"/>
          <w:lang w:val="uk-UA"/>
        </w:rPr>
        <w:t xml:space="preserve"> грн. Придбано</w:t>
      </w:r>
      <w:r w:rsidR="007E1684">
        <w:rPr>
          <w:sz w:val="24"/>
          <w:szCs w:val="24"/>
          <w:lang w:val="uk-UA"/>
        </w:rPr>
        <w:t xml:space="preserve"> виробниче обладнання, вимірювальні прилади та інструмент, обладнання та програмне забезпечення для дистанційного управління котельнею.</w:t>
      </w:r>
      <w:r>
        <w:rPr>
          <w:sz w:val="24"/>
          <w:szCs w:val="24"/>
          <w:lang w:val="uk-UA"/>
        </w:rPr>
        <w:t xml:space="preserve"> </w:t>
      </w:r>
    </w:p>
    <w:p w:rsidR="00C525DB" w:rsidRPr="00C43062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фінансовий результат (зменшення дохідної частини та збільшення собівартості)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вплинули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такі чинники: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34E0D">
        <w:rPr>
          <w:color w:val="000000"/>
          <w:sz w:val="24"/>
          <w:szCs w:val="24"/>
        </w:rPr>
        <w:t>для населення</w:t>
      </w:r>
      <w:r w:rsidR="00034E0D" w:rsidRPr="00C43062">
        <w:rPr>
          <w:color w:val="000000"/>
          <w:sz w:val="24"/>
          <w:szCs w:val="24"/>
        </w:rPr>
        <w:t xml:space="preserve"> </w:t>
      </w:r>
      <w:r w:rsidR="00034E0D">
        <w:rPr>
          <w:color w:val="000000"/>
          <w:sz w:val="24"/>
          <w:szCs w:val="24"/>
        </w:rPr>
        <w:t xml:space="preserve">застосовується </w:t>
      </w:r>
      <w:r w:rsidR="00C525DB" w:rsidRPr="00C43062">
        <w:rPr>
          <w:color w:val="000000"/>
          <w:sz w:val="24"/>
          <w:szCs w:val="24"/>
        </w:rPr>
        <w:t xml:space="preserve">тариф на послуги </w:t>
      </w:r>
      <w:r w:rsidR="00C525DB">
        <w:rPr>
          <w:color w:val="000000"/>
          <w:sz w:val="24"/>
          <w:szCs w:val="24"/>
        </w:rPr>
        <w:t xml:space="preserve">з </w:t>
      </w:r>
      <w:r w:rsidR="00C525DB" w:rsidRPr="00C43062">
        <w:rPr>
          <w:color w:val="000000"/>
          <w:sz w:val="24"/>
          <w:szCs w:val="24"/>
        </w:rPr>
        <w:t>теплопостачання, затверджений у грудні 2021 року. За час дії воєнного стану він не змінювався, хоча складові собівартості постійно збільшуються</w:t>
      </w:r>
      <w:r w:rsidR="00C525DB">
        <w:rPr>
          <w:sz w:val="24"/>
          <w:szCs w:val="24"/>
        </w:rPr>
        <w:t>.</w:t>
      </w:r>
      <w:r w:rsidR="00C525DB" w:rsidRPr="00C47017">
        <w:rPr>
          <w:sz w:val="24"/>
          <w:szCs w:val="24"/>
        </w:rPr>
        <w:t xml:space="preserve"> Частка населе</w:t>
      </w:r>
      <w:r w:rsidR="00C525DB" w:rsidRPr="00C43062">
        <w:rPr>
          <w:color w:val="000000"/>
          <w:sz w:val="24"/>
          <w:szCs w:val="24"/>
        </w:rPr>
        <w:t xml:space="preserve">ння в структурі споживачів </w:t>
      </w:r>
      <w:r w:rsidR="00C525DB">
        <w:rPr>
          <w:color w:val="000000"/>
          <w:sz w:val="24"/>
          <w:szCs w:val="24"/>
        </w:rPr>
        <w:t>– 88,7%;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525DB">
        <w:rPr>
          <w:color w:val="000000"/>
          <w:sz w:val="24"/>
          <w:szCs w:val="24"/>
        </w:rPr>
        <w:t>в</w:t>
      </w:r>
      <w:r w:rsidR="00C525DB" w:rsidRPr="00C43062">
        <w:rPr>
          <w:color w:val="000000"/>
          <w:sz w:val="24"/>
          <w:szCs w:val="24"/>
        </w:rPr>
        <w:t>артіс</w:t>
      </w:r>
      <w:r w:rsidR="00C525DB">
        <w:rPr>
          <w:color w:val="000000"/>
          <w:sz w:val="24"/>
          <w:szCs w:val="24"/>
        </w:rPr>
        <w:t>ть електричної енергії, закладеної</w:t>
      </w:r>
      <w:r w:rsidR="00C525DB" w:rsidRPr="00C43062">
        <w:rPr>
          <w:color w:val="000000"/>
          <w:sz w:val="24"/>
          <w:szCs w:val="24"/>
        </w:rPr>
        <w:t xml:space="preserve"> в діючий тариф</w:t>
      </w:r>
      <w:r w:rsidR="00C525DB">
        <w:rPr>
          <w:color w:val="000000"/>
          <w:sz w:val="24"/>
          <w:szCs w:val="24"/>
        </w:rPr>
        <w:t>,</w:t>
      </w:r>
      <w:r w:rsidR="00C525DB" w:rsidRPr="00C43062">
        <w:rPr>
          <w:color w:val="000000"/>
          <w:sz w:val="24"/>
          <w:szCs w:val="24"/>
        </w:rPr>
        <w:t xml:space="preserve"> складає 3,63 грн. за 1 </w:t>
      </w:r>
      <w:r w:rsidR="00C525DB" w:rsidRPr="00C43062">
        <w:rPr>
          <w:sz w:val="24"/>
          <w:szCs w:val="24"/>
        </w:rPr>
        <w:t>кВт*год</w:t>
      </w:r>
      <w:r w:rsidR="00C525DB" w:rsidRPr="00C43062">
        <w:rPr>
          <w:color w:val="000000"/>
          <w:sz w:val="24"/>
          <w:szCs w:val="24"/>
        </w:rPr>
        <w:t>, фактичн</w:t>
      </w:r>
      <w:r w:rsidR="00C525DB">
        <w:rPr>
          <w:color w:val="000000"/>
          <w:sz w:val="24"/>
          <w:szCs w:val="24"/>
        </w:rPr>
        <w:t>а вартість електроенергії в червні 2025 року складала 9,45</w:t>
      </w:r>
      <w:r w:rsidR="00C525DB" w:rsidRPr="00C43062">
        <w:rPr>
          <w:color w:val="000000"/>
          <w:sz w:val="24"/>
          <w:szCs w:val="24"/>
        </w:rPr>
        <w:t xml:space="preserve"> грн за 1 </w:t>
      </w:r>
      <w:r w:rsidR="00C525DB" w:rsidRPr="00C43062">
        <w:rPr>
          <w:sz w:val="24"/>
          <w:szCs w:val="24"/>
        </w:rPr>
        <w:t>кВт*год</w:t>
      </w:r>
      <w:r w:rsidR="00C525DB">
        <w:rPr>
          <w:color w:val="000000"/>
          <w:sz w:val="24"/>
          <w:szCs w:val="24"/>
        </w:rPr>
        <w:t>.;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525DB">
        <w:rPr>
          <w:color w:val="000000"/>
          <w:sz w:val="24"/>
          <w:szCs w:val="24"/>
        </w:rPr>
        <w:t>н</w:t>
      </w:r>
      <w:r w:rsidR="00C525DB" w:rsidRPr="00C43062">
        <w:rPr>
          <w:color w:val="000000"/>
          <w:sz w:val="24"/>
          <w:szCs w:val="24"/>
        </w:rPr>
        <w:t xml:space="preserve">едостатня кількість </w:t>
      </w:r>
      <w:r w:rsidR="00C525DB">
        <w:rPr>
          <w:color w:val="000000"/>
          <w:sz w:val="24"/>
          <w:szCs w:val="24"/>
        </w:rPr>
        <w:t xml:space="preserve">обсягів </w:t>
      </w:r>
      <w:r w:rsidR="00C525DB" w:rsidRPr="00C43062">
        <w:rPr>
          <w:color w:val="000000"/>
          <w:sz w:val="24"/>
          <w:szCs w:val="24"/>
        </w:rPr>
        <w:t xml:space="preserve">природного газу в договірних величинах </w:t>
      </w:r>
      <w:r w:rsidR="00034E0D">
        <w:rPr>
          <w:color w:val="000000"/>
          <w:sz w:val="24"/>
          <w:szCs w:val="24"/>
        </w:rPr>
        <w:t>за</w:t>
      </w:r>
      <w:r w:rsidR="00C525DB" w:rsidRPr="00C43062">
        <w:rPr>
          <w:color w:val="000000"/>
          <w:sz w:val="24"/>
          <w:szCs w:val="24"/>
        </w:rPr>
        <w:t xml:space="preserve"> умовам</w:t>
      </w:r>
      <w:r w:rsidR="00034E0D">
        <w:rPr>
          <w:color w:val="000000"/>
          <w:sz w:val="24"/>
          <w:szCs w:val="24"/>
        </w:rPr>
        <w:t>и</w:t>
      </w:r>
      <w:r w:rsidR="00C525DB" w:rsidRPr="00C43062">
        <w:rPr>
          <w:color w:val="000000"/>
          <w:sz w:val="24"/>
          <w:szCs w:val="24"/>
        </w:rPr>
        <w:t xml:space="preserve"> покладення спеціальних обов’язків на постачальника по фіксованих цінах для населення т</w:t>
      </w:r>
      <w:r w:rsidR="00C525DB">
        <w:rPr>
          <w:color w:val="000000"/>
          <w:sz w:val="24"/>
          <w:szCs w:val="24"/>
        </w:rPr>
        <w:t xml:space="preserve">а бюджетних установ. </w:t>
      </w:r>
      <w:r w:rsidR="00C525DB" w:rsidRPr="00C43062">
        <w:rPr>
          <w:sz w:val="24"/>
          <w:szCs w:val="24"/>
          <w:vertAlign w:val="superscript"/>
        </w:rPr>
        <w:t xml:space="preserve"> </w:t>
      </w:r>
      <w:r w:rsidR="00C525DB">
        <w:rPr>
          <w:color w:val="000000"/>
          <w:sz w:val="24"/>
          <w:szCs w:val="24"/>
        </w:rPr>
        <w:t>Обсяги газу, які були спожиті понад ліміти, були відпущені підприємству</w:t>
      </w:r>
      <w:r w:rsidR="00C525DB" w:rsidRPr="00C43062">
        <w:rPr>
          <w:color w:val="000000"/>
          <w:sz w:val="24"/>
          <w:szCs w:val="24"/>
        </w:rPr>
        <w:t xml:space="preserve"> по комерційним цінам. </w:t>
      </w:r>
    </w:p>
    <w:p w:rsidR="00E66BE5" w:rsidRDefault="004B5610" w:rsidP="00E66B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2025 році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підприємство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планувало 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отримання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прибутку в обсязі 302,6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 Фактично за цей період підприємств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 отримало збиток в розмірі 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223,4 тис. грн.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B5610" w:rsidRDefault="004B5610" w:rsidP="00E66B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525DB" w:rsidRPr="00E66BE5" w:rsidRDefault="00C525DB" w:rsidP="00E66BE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«Житло-Експлуатація» Роменської міської ради»</w:t>
      </w:r>
    </w:p>
    <w:p w:rsidR="00C525DB" w:rsidRPr="00B04FBA" w:rsidRDefault="00C525DB" w:rsidP="001A6C00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Комунальне підприємство «Житло-Експлуатація» Роменської міської ради» надає </w:t>
      </w:r>
      <w:r w:rsidRPr="00B04F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послуги з утримання будинків і споруд та прибудинкових територій житлового фонду. </w:t>
      </w:r>
    </w:p>
    <w:p w:rsidR="00C525DB" w:rsidRPr="006D5227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Середньооблікова кількість </w:t>
      </w:r>
      <w:r w:rsidR="00A27B7A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штатних працівників становить 68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осіб, у тому числі адміністративний п</w:t>
      </w:r>
      <w:r w:rsidR="006D5227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ерсонал – 9</w:t>
      </w:r>
      <w:r w:rsidR="00A27B7A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осіб, робітники – 59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особи.</w:t>
      </w:r>
      <w:r w:rsidRPr="006D52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525DB" w:rsidRPr="0048472F" w:rsidRDefault="007117C0" w:rsidP="007117C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C525DB"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3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3"/>
        <w:gridCol w:w="1226"/>
        <w:gridCol w:w="1267"/>
        <w:gridCol w:w="3274"/>
      </w:tblGrid>
      <w:tr w:rsidR="0053566F" w:rsidRPr="00ED2B0A" w:rsidTr="00B04FBA">
        <w:trPr>
          <w:trHeight w:val="192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566F" w:rsidRPr="00ED2B0A" w:rsidTr="00B04FBA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500315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53566F" w:rsidRPr="0090638F" w:rsidTr="00B04FBA">
        <w:trPr>
          <w:trHeight w:val="87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F7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637,4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0F54A2" w:rsidRDefault="000F54A2" w:rsidP="000F5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F54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ідхилення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показника 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відбулося внаслідок </w:t>
            </w:r>
            <w:r w:rsidR="00880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додаткових працівників до виконання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суспільно корисних робіт</w:t>
            </w:r>
            <w:r w:rsidR="008B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B5404" w:rsidRPr="008B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підвищенням мінімального розміру з заробітної плати та прожиткового мінімуму для працездатних осіб</w:t>
            </w:r>
          </w:p>
        </w:tc>
      </w:tr>
      <w:tr w:rsidR="0053566F" w:rsidRPr="0090638F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256609" w:rsidRDefault="001A5793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підвищенням мінімального </w:t>
            </w:r>
          </w:p>
        </w:tc>
      </w:tr>
      <w:tr w:rsidR="00B04FBA" w:rsidRPr="00ED2B0A" w:rsidTr="00B04FBA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500315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04FBA" w:rsidRPr="0090638F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E56AAB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розміру з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53566F" w:rsidRPr="00E2712C" w:rsidTr="00B04FBA">
        <w:trPr>
          <w:trHeight w:val="57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416,8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135,8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90638F" w:rsidTr="00B04FBA">
        <w:trPr>
          <w:trHeight w:val="369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558,5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3D33A8" w:rsidRDefault="000F54A2" w:rsidP="000F54A2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актична розбіжність із прогнозними показниками  зумовлена динамічним </w:t>
            </w:r>
            <w:proofErr w:type="spellStart"/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зрос</w:t>
            </w:r>
            <w:r w:rsid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танням</w:t>
            </w:r>
            <w:proofErr w:type="spellEnd"/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матеріаломісткості послуг, а саме: ціновими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коливання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енергоносії (паливо, електроенергія)</w:t>
            </w:r>
            <w:r w:rsidRPr="00CC13F1">
              <w:rPr>
                <w:lang w:val="ru-RU"/>
              </w:rPr>
              <w:t xml:space="preserve"> 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0F54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додатковим навантаженням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фонд оплати праці через залучення тимчасового персоналу до суспільно корисних робіт</w:t>
            </w:r>
          </w:p>
        </w:tc>
      </w:tr>
      <w:tr w:rsidR="0053566F" w:rsidRPr="0090638F" w:rsidTr="00B04FBA">
        <w:trPr>
          <w:trHeight w:val="9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E97BC7" w:rsidP="001A5793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відхилення зумовлене зростанням вартості послуг та товар</w:t>
            </w:r>
            <w:r w:rsidR="001A57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4722F1" w:rsidTr="00B04FBA">
        <w:trPr>
          <w:trHeight w:val="70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67,6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923448" w:rsidRDefault="00923448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5660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F79A6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53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CE3908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A27B7A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8B54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реалізації </w:t>
            </w:r>
            <w:r w:rsidR="008B5404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</w:t>
            </w: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1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CC13F1" w:rsidTr="00B04FBA">
        <w:trPr>
          <w:trHeight w:val="142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B04FBA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B04FBA" w:rsidRDefault="008D2ED5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D3DEF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A5793" w:rsidRDefault="00E97BC7" w:rsidP="00C66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відхилення від </w:t>
            </w:r>
            <w:proofErr w:type="spellStart"/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прогноз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B04F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ваного</w:t>
            </w:r>
            <w:proofErr w:type="spellEnd"/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значе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ння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зумовлене</w:t>
            </w:r>
            <w:r w:rsidR="00E008E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додатковим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08E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фінансуванням з державного бюджету для оплати суспільно корисних робіт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фінансової допомоги з місцевого бюджету </w:t>
            </w:r>
            <w:r w:rsidR="00C6612B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здійснення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кімнат у гуртожитку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розміщення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612B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внутрішньо переміщених осіб)</w:t>
            </w:r>
          </w:p>
        </w:tc>
      </w:tr>
      <w:tr w:rsidR="00307E9C" w:rsidRPr="00ED2B0A" w:rsidTr="00504E5F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53566F" w:rsidRPr="0090638F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066,4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E97BC7" w:rsidP="00E97B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ення</w:t>
            </w: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фінансової підтримки з місцевого бюджету</w:t>
            </w: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525DB" w:rsidRPr="00E1259F" w:rsidRDefault="00E916D5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AC1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2025 рік чистий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дохід від реалізації продукції за чинним тарифом було заплановано в сумі 6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000,0 тис. грн (без ПДВ). Фактичн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отримано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чист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дох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сумі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7 089,7 тис. грн,</w:t>
      </w:r>
      <w:r w:rsidR="00C731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становить 118,2% від плану. </w:t>
      </w:r>
    </w:p>
    <w:p w:rsidR="009F7971" w:rsidRPr="00307E9C" w:rsidRDefault="009F7971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операційні доходи були заплановані у сумі 400,0 тис. грн, проте фактично вони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склали 4 100,2 тис. грн. Значне зростання </w:t>
      </w:r>
      <w:r w:rsidR="00AF32E0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порівнянні з плановим показником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відбулося за рахунок</w:t>
      </w:r>
      <w:r w:rsidR="00E008EA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008EA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з державного бюджету для</w:t>
      </w:r>
      <w:r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оплати суспільно корисних робіт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відшкодування за створення нових робочих місць, </w:t>
      </w:r>
      <w:r w:rsidR="00E008EA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r w:rsidR="00E008EA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допомоги з місцевого бюджету для здійснення ремонту кімнат у гуртожитку для розміщення</w:t>
      </w:r>
      <w:r w:rsidR="00C6612B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внутрішньо переміщених осіб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Інші доходи планувалися в обсязі 20,0 тис. грн, тоді як фактично було отримано 5 066,4 тис. грн. Такий результат було досягнуто завдяки</w:t>
      </w:r>
      <w:r w:rsidR="004029B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отриманню фінансової підтримки </w:t>
      </w:r>
      <w:r w:rsidR="00DC2D03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4029B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місцевого бюджету.</w:t>
      </w:r>
    </w:p>
    <w:p w:rsidR="009F7971" w:rsidRPr="009F7971" w:rsidRDefault="009F7971" w:rsidP="00C82AF4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Плановий обсяг витрат на 2025 рік було передбачено в сумі 6 416,8 тис. грн, </w:t>
      </w:r>
      <w:r w:rsidR="00923448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цьому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фактичні витрати підприємства склали 16</w:t>
      </w:r>
      <w:r w:rsidR="00307E9C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135,8 тис. грн.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703C1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озбіжність із прогнозним показник</w:t>
      </w:r>
      <w:r w:rsidR="00307E9C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зумовлена динамічним зростанням матеріаломісткості послуг, а саме: ціно</w:t>
      </w:r>
      <w:r w:rsidR="002703C1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вими коливаннями на енергоносії, 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зростанням вартості послуг та товарів та додатковим навантаженням на фонд оплати праці через залучення тимчасового персоналу до суспільно корисних робіт.</w:t>
      </w:r>
    </w:p>
    <w:p w:rsidR="009F7971" w:rsidRDefault="009F7971" w:rsidP="00E66BE5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структу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 витрат підприємства увійшли: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матеріальні витрати (пально-мастильні та будівельні матеріали, сантехнічне обладнання, енергоносії тощо);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на оплату праці виробничого та адміністра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тивно-управлінського персоналу;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драхування на соціальні заходи; амортизаційні відрахування;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інші операційні витрати (телекомунікаційні послуги, технічне обслуговування ліфтів, банківське обслуговування та послуги сторонніх організацій)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44BF3" w:rsidRPr="001600B0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Фонд оплати п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раці за планом становить 3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400,0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– 9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637,4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грн. Середньомісячна заробітна плата за планом – 8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854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˗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Фонд заробітної плати більший від запланованого в результаті  підвищення заробітної плати, а також 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рахунок залучення працівників на суспільно корисн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іт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(чергові в укриття на час воєнного стану).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Pr="0017260A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00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Дебіторська заборгованість на 01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.01.2026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 2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059,2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 (у т. ч.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737,3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–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заборгованість населення, 164,5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 – інші споживачі, 112,4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 – за розрахунками з бюджетом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підзвітні особи - 45,0 тис. грн), яка зросла на 4%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або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1 974,4 тис. грн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почат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0F5E8F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погашення заборгованості надіслано повідомлення боржникам на суму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893,4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(квартплата населення)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Складені договори на реструктуризацію боргу на суму 355,0 тис. грн.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Поточна дебіторська заборгованість становить 640,0 тис. грн, безнадійна </w:t>
      </w:r>
      <w:r w:rsidR="004029B4" w:rsidRPr="00256609">
        <w:rPr>
          <w:rFonts w:ascii="Times New Roman" w:eastAsia="Calibri" w:hAnsi="Times New Roman" w:cs="Times New Roman"/>
          <w:lang w:val="uk-UA"/>
        </w:rPr>
        <w:t>–</w:t>
      </w:r>
      <w:r w:rsidR="004029B4">
        <w:rPr>
          <w:rFonts w:ascii="Times New Roman" w:eastAsia="Calibri" w:hAnsi="Times New Roman" w:cs="Times New Roman"/>
          <w:lang w:val="uk-UA"/>
        </w:rPr>
        <w:t xml:space="preserve">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170,8 тис. грн.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F5E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:rsidR="00C525DB" w:rsidRPr="00F037D9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Кредиторська заборгованість на кінець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звітного періоду становить 346,3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(у тому числі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боргованість перед бюджетом – 117,1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інші поточні зобов’язання 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1,9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грн;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товари, роботи, послуги – 227,3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грн), та до початку звітного періоду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зменшилася на 5% (364,7 тис. грн)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Кредиторська заборгованість є поточною.</w:t>
      </w:r>
    </w:p>
    <w:p w:rsidR="009F7971" w:rsidRDefault="00775D90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</w:t>
      </w:r>
      <w:r w:rsidR="009F7971" w:rsidRPr="009F79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оказник прибутку на 2025 рік було передбачено в сумі 3,2 тис. грн, тоді як фактично отриманий прибуток становить 98,8 тис. грн. Таке </w:t>
      </w:r>
      <w:r w:rsidR="009F7971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значне перевищення плану зумовлене отриманням фінансової підтримки з місцевого бюджету та фінансуванням </w:t>
      </w:r>
      <w:r w:rsidR="0090638F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державного бюдж</w:t>
      </w:r>
      <w:r w:rsidR="00FF1B7B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ету </w:t>
      </w:r>
      <w:r w:rsidR="009F7971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суспільно корисних робіт. Завдяки залученню додаткових коштів підприємство забезпечило надання послуг у повному обсязі.</w:t>
      </w:r>
    </w:p>
    <w:p w:rsidR="00E97BC7" w:rsidRDefault="00E97BC7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25DB" w:rsidRPr="009B3174" w:rsidRDefault="00C525DB" w:rsidP="00E66BE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</w:pPr>
      <w:r w:rsidRPr="009B3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  <w:t>Комунальне підприємство «</w:t>
      </w:r>
      <w:proofErr w:type="spellStart"/>
      <w:r w:rsidRPr="009B3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  <w:t>Ромнитранссервіс</w:t>
      </w:r>
      <w:proofErr w:type="spellEnd"/>
      <w:r w:rsidRPr="009B3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  <w:t>»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>Комунальне підприємство «</w:t>
      </w:r>
      <w:proofErr w:type="spellStart"/>
      <w:r w:rsidRPr="00C43062">
        <w:rPr>
          <w:rFonts w:ascii="Times New Roman" w:hAnsi="Times New Roman"/>
          <w:sz w:val="24"/>
          <w:szCs w:val="24"/>
          <w:lang w:val="uk-UA"/>
        </w:rPr>
        <w:t>Ромнитранссервіс</w:t>
      </w:r>
      <w:proofErr w:type="spellEnd"/>
      <w:r w:rsidRPr="00C43062">
        <w:rPr>
          <w:rFonts w:ascii="Times New Roman" w:hAnsi="Times New Roman"/>
          <w:sz w:val="24"/>
          <w:szCs w:val="24"/>
          <w:lang w:val="uk-UA"/>
        </w:rPr>
        <w:t>» здійснює організацію руху автобусів на міських автобусних маршрутах загального користування та контроль за рухом транспорту, надає диспетчерські послуги виконавцям перевезень</w:t>
      </w:r>
      <w:r w:rsidRPr="00C43062">
        <w:rPr>
          <w:lang w:val="uk-UA"/>
        </w:rPr>
        <w:t>.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Середньооблікова чисельність штатних працівників підприємства – 2 особи. 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Таблиця </w:t>
      </w:r>
      <w:r w:rsidR="001C6D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</w:p>
    <w:tbl>
      <w:tblPr>
        <w:tblW w:w="499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0"/>
        <w:gridCol w:w="1075"/>
        <w:gridCol w:w="1250"/>
        <w:gridCol w:w="3444"/>
      </w:tblGrid>
      <w:tr w:rsidR="00C525DB" w:rsidRPr="00C43062" w:rsidTr="003A4BF6"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F17E15" w:rsidP="0089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 ро</w:t>
            </w:r>
            <w:r w:rsidR="00C525DB"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3A4BF6"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  <w:p w:rsidR="00E414E0" w:rsidRPr="00C43062" w:rsidRDefault="00E414E0" w:rsidP="00E414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1" w:name="5525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</w:t>
            </w:r>
            <w:proofErr w:type="spellStart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A22892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239,6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A22892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інші операційні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70B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 ч. податок на додану вартість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доходів,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т.</w:t>
            </w:r>
            <w:r w:rsidR="000E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Чистий  прибуток (+), </w:t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збиток (-),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9F3B2D" w:rsidRDefault="00403AB5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0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За звітний період фактичний дохід підприємства склав 238,8 тис. грн, що становить 99,4% від запланованого показника (2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40,2 тис. грн).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Недовиконання плану на 0,6% (1,4 тис. грн) зумовлене зменшенням обсягів надходжень від надання диспетчерських послуг порівняно з прогнозними розрахунками.</w:t>
      </w:r>
    </w:p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Фактичні витрати за 2025 рік склали 238,</w:t>
      </w:r>
      <w:r w:rsidR="004D073B">
        <w:rPr>
          <w:rFonts w:ascii="Times New Roman" w:hAnsi="Times New Roman" w:cs="Times New Roman"/>
          <w:sz w:val="24"/>
          <w:szCs w:val="24"/>
          <w:lang w:val="uk-UA"/>
        </w:rPr>
        <w:t xml:space="preserve">8 тис. грн при плані 239,6 тис.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 xml:space="preserve">грн. Економія коштів у розмірі 0,8 тис. грн забезпечена шляхом зменшення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 на придбання матеріалів.</w:t>
      </w:r>
    </w:p>
    <w:p w:rsidR="00C525DB" w:rsidRPr="00215F33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 кінець звітного періоду дебіторська заборгован</w:t>
      </w:r>
      <w:r w:rsidR="00215F33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ість обліковується в сумі 14,5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грн, кредиторська заборгованість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 оплати праці та нарахувань на оплату праці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становить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         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19,5 тис. грн. Дебіторська та кредиторська заборгованість є поточними.</w:t>
      </w:r>
    </w:p>
    <w:p w:rsidR="00B76702" w:rsidRPr="00D930F2" w:rsidRDefault="00E66BE5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lastRenderedPageBreak/>
        <w:t>За підсумками 2025 року підприємством</w:t>
      </w:r>
      <w:r w:rsidR="00D930F2"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передбачалося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отримання прибутку в розмірі</w:t>
      </w:r>
      <w:r w:rsidR="004029B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0,6</w:t>
      </w:r>
      <w:r w:rsidR="00D930F2"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грн. Проте у зв’язку зі збільшенням ставки військового збору до 5% плановий показник не був досягнутий. За підсумками звітного періоду підприємство спрацювало беззбитково</w:t>
      </w:r>
      <w:r w:rsidR="00D930F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:rsidR="00934334" w:rsidRPr="00E03812" w:rsidRDefault="00934334" w:rsidP="0093433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Комунальне підприємство «Комбінат комунальних підприємств» </w:t>
      </w:r>
    </w:p>
    <w:p w:rsidR="00934334" w:rsidRPr="00934334" w:rsidRDefault="00934334" w:rsidP="00934334">
      <w:pPr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ради»</w:t>
      </w:r>
    </w:p>
    <w:p w:rsidR="00C525DB" w:rsidRPr="00E63314" w:rsidRDefault="00C525DB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Комунальне підприємство «Комбінат комунальних підприємств» Роменської міської ради» надає послуги із санітарної очистки території громади (в тому числі вивезення побутових відходів), утримання кладовищ, організації поховання померлих, благоустрою, озеленення тощо.</w:t>
      </w:r>
    </w:p>
    <w:p w:rsidR="00C525DB" w:rsidRPr="00E63314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Середньооблікова кількість прац</w:t>
      </w:r>
      <w:r w:rsidR="00A34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юючих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116 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т. ч.: 11 осіб – адміністративний персонал, 105 осіб – працівники. </w:t>
      </w:r>
    </w:p>
    <w:p w:rsidR="00C525DB" w:rsidRPr="00E63314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5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8"/>
        <w:gridCol w:w="1238"/>
        <w:gridCol w:w="1275"/>
        <w:gridCol w:w="3227"/>
      </w:tblGrid>
      <w:tr w:rsidR="00F25044" w:rsidRPr="00ED2B0A" w:rsidTr="00934334">
        <w:trPr>
          <w:trHeight w:val="311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35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500315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5044" w:rsidRPr="0090638F" w:rsidTr="00307E9C">
        <w:trPr>
          <w:trHeight w:val="121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F62A4" w:rsidRDefault="00B0180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ідхилення від прогноз</w:t>
            </w:r>
            <w:r w:rsidR="00A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ованого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значен</w:t>
            </w:r>
            <w:r w:rsidR="00A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ня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пов’язане з фактичним підвищенням заробітної плати</w:t>
            </w:r>
          </w:p>
        </w:tc>
      </w:tr>
      <w:tr w:rsidR="00F25044" w:rsidRPr="0090638F" w:rsidTr="00307E9C">
        <w:trPr>
          <w:trHeight w:val="15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2B0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A347C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підвищенням мінімального розміру з заробітної плати</w:t>
            </w:r>
            <w:r w:rsid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F25044" w:rsidRPr="00CC13F1" w:rsidTr="00307E9C">
        <w:trPr>
          <w:trHeight w:val="155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405,2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347C8" w:rsidRDefault="00F25044" w:rsidP="00F15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F25044" w:rsidRPr="0090638F" w:rsidTr="00307E9C">
        <w:trPr>
          <w:trHeight w:val="15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810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B078B4" w:rsidRDefault="00F1505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F1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риріст видатків пов'язаний із фактичним підвищенням закупівельних цін на запчастини та пально-мастильні матеріали</w:t>
            </w:r>
          </w:p>
        </w:tc>
      </w:tr>
      <w:tr w:rsidR="00F25044" w:rsidRPr="0090638F" w:rsidTr="00307E9C">
        <w:trPr>
          <w:trHeight w:val="93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187,6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307E9C" w:rsidRDefault="00F15058" w:rsidP="002030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відхилення </w:t>
            </w:r>
            <w:r w:rsidR="00203006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зумовлене незапланованим зростанням витрат на </w:t>
            </w:r>
            <w:proofErr w:type="spellStart"/>
            <w:r w:rsidR="00203006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цифровізацію</w:t>
            </w:r>
            <w:proofErr w:type="spellEnd"/>
            <w:r w:rsidR="00203006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обліку (оплату програм бухгалтерського обліку) та супутніх адміністративних витрат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07E9C" w:rsidRPr="00ED2B0A" w:rsidTr="00307E9C">
        <w:trPr>
          <w:trHeight w:val="335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3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987AAD" w:rsidTr="00307E9C">
        <w:trPr>
          <w:trHeight w:val="6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30778,6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D75BF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6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129,8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D75BFA" w:rsidTr="00307E9C">
        <w:trPr>
          <w:trHeight w:val="6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493,9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90638F" w:rsidTr="00307E9C">
        <w:trPr>
          <w:trHeight w:val="93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307E9C" w:rsidRDefault="00AD1F92" w:rsidP="00BD5F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фактичне відхилення зумовлене </w:t>
            </w:r>
            <w:r w:rsidR="00BD5FF3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невиконанням плану щодо залучення нових абонентів та масовим ухиленням мешканців приватного сектору від укладання договорів на вивіз твердих побутових відходів</w:t>
            </w:r>
          </w:p>
        </w:tc>
      </w:tr>
      <w:tr w:rsidR="00F25044" w:rsidRPr="0090638F" w:rsidTr="00307E9C">
        <w:trPr>
          <w:trHeight w:val="121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8E76F8" w:rsidP="00001A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Відхилення пояснюється</w:t>
            </w:r>
            <w:r w:rsidR="00AD1F92" w:rsidRPr="00AD1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залучення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AD1F92" w:rsidRPr="00AD1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фінансової підтримки з місцевого бюджету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6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+439</w:t>
            </w:r>
            <w:r w:rsidR="00EE6A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476B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F25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41,4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E63314" w:rsidRDefault="00C525DB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результаті операційної діяльності</w:t>
      </w:r>
      <w:r w:rsidR="008100B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</w:t>
      </w:r>
      <w:r w:rsidR="00E66B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2025 рік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підприємство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отримало </w:t>
      </w:r>
      <w:r w:rsidR="00F250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дохід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сумі 43 493,9 тис. грн, що </w:t>
      </w:r>
      <w:r w:rsidR="00F14B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12,2%</w:t>
      </w:r>
      <w:r w:rsidR="00965B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974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більше </w:t>
      </w:r>
      <w:r w:rsidR="00965B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 запланованого доходу в сумі </w:t>
      </w:r>
      <w:r w:rsidR="00F250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38 768 тис. грн. </w:t>
      </w:r>
    </w:p>
    <w:p w:rsidR="00C14ED3" w:rsidRDefault="00F43EF6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истий  дох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підприємство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 в сумі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25 764,1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</w:t>
      </w:r>
      <w:r w:rsid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 склало 72,4% від запланованого доходу (35 568,0 тис. грн). У тому числі: </w:t>
      </w:r>
      <w:r w:rsidR="00C525DB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дохід від вивезення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розміщення та захоронення </w:t>
      </w:r>
      <w:r w:rsidR="001F16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твердих побутових відходів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7 054,6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тис. грн (без ПДВ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),  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пасажирських перевезень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 3 667,8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 (без ПДВ),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послуги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благоустрою Ром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енської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територіальної громади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- 15 041,7 тис.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72399" w:rsidRDefault="004975DE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Фактичний обсяг інших</w:t>
      </w:r>
      <w:r w:rsidR="00EC24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операційних доходів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склав 17</w:t>
      </w:r>
      <w:r w:rsidR="004D34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729,8 тис. грн при плані 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</w:t>
      </w:r>
      <w:r w:rsidR="00D10F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</w:t>
      </w:r>
      <w:r w:rsidR="00583F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D10F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200,0 тис. 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грн. Перевиконання плану відбулося за рахунок надходження фінансової </w:t>
      </w:r>
      <w:r w:rsidR="00D723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підтримки</w:t>
      </w:r>
      <w:r w:rsidR="00583FA5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місцевого бюджету</w:t>
      </w:r>
      <w:r w:rsidR="00D723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 розмірі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13 869,6 тис. грн</w:t>
      </w:r>
    </w:p>
    <w:p w:rsidR="00F46565" w:rsidRDefault="00C525DB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Витрати підприємств</w:t>
      </w:r>
      <w:r w:rsidR="006F5C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 2025 року становлять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43 443,4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грн,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E04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="00F465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13,2% більше від запланованого п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оказника </w:t>
      </w:r>
      <w:r w:rsidR="005E04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˗ 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38 329,0 тис. грн.</w:t>
      </w:r>
    </w:p>
    <w:p w:rsidR="000F2CA3" w:rsidRPr="00307E9C" w:rsidRDefault="00887326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Показник амортизаційних витрат був запланований в сумі 2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329,0 ти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с. грн, фактично отримали 4 359,4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тис. грн або на 78,1% </w:t>
      </w:r>
      <w:r w:rsidR="005E0401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більше. З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більшення відбулося за рахунок введення в експлуатацію нових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основних засобів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C525DB" w:rsidRPr="000F2CA3" w:rsidRDefault="000F2CA3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2025 рік адміністративні витрати було заплановано у сумі 3 423,0 тис. грн, фактично витрати склали </w:t>
      </w:r>
      <w:r w:rsidRPr="00307E9C">
        <w:rPr>
          <w:rFonts w:ascii="Times New Roman" w:eastAsia="Calibri" w:hAnsi="Times New Roman" w:cs="Times New Roman"/>
          <w:lang w:val="uk-UA"/>
        </w:rPr>
        <w:t>–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5 187,6 тис. грн, що більше на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51,6%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Відхилення зумовлене незапланованим зростанням витрат на </w:t>
      </w:r>
      <w:proofErr w:type="spellStart"/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цифровізацію</w:t>
      </w:r>
      <w:proofErr w:type="spellEnd"/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обліку (оплату програм бухгалтерського обліку) та супутніх адміністративних витрат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FF3999" w:rsidRP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8A7B6A" w:rsidRPr="00FB4A63" w:rsidRDefault="00C525DB" w:rsidP="00C974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ебіторська заборгованість за товари, роботи та послуги станом на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.01.2026 становить 2 988,9 тис.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грн, 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т.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1 724,3</w:t>
      </w:r>
      <w:r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тис. грн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поточна заборгованість з</w:t>
      </w:r>
      <w:r w:rsidR="002864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 послуги управління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відходами,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1 150,3 тис. грн - поточні розрахунки зі сплати податків,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114,3 тис. грн 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поточні розрахунки з постачальниками</w:t>
      </w:r>
      <w:r w:rsidR="002864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Pr="00E63314" w:rsidRDefault="00C525DB" w:rsidP="00C974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Кредиторська заборгованість за товари, роботи та по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слуги станом на 01.01.2026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становить 1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723,9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тис. грн. </w:t>
      </w:r>
    </w:p>
    <w:p w:rsidR="00E916D5" w:rsidRDefault="00C525DB" w:rsidP="004D073B">
      <w:pPr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Фінансовий результат підприємства за  2025 р</w:t>
      </w:r>
      <w:r w:rsidR="006C5D9D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ік</w:t>
      </w:r>
      <w:r w:rsidR="00442790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отримано чистий </w:t>
      </w:r>
      <w:r w:rsidR="002E1EC8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прибуток 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F2961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сумі </w:t>
      </w:r>
      <w:r w:rsidR="003D33A8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="008A7B6A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41,4 т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ис. </w:t>
      </w:r>
      <w:r w:rsidR="00CD04FA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грн.</w:t>
      </w:r>
    </w:p>
    <w:p w:rsidR="00E916D5" w:rsidRPr="00442790" w:rsidRDefault="00E916D5" w:rsidP="002955FF">
      <w:pPr>
        <w:tabs>
          <w:tab w:val="left" w:pos="993"/>
        </w:tabs>
        <w:spacing w:line="271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279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підприємство «</w:t>
      </w:r>
      <w:proofErr w:type="spellStart"/>
      <w:r w:rsidRPr="0044279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Ільїнський</w:t>
      </w:r>
      <w:proofErr w:type="spellEnd"/>
      <w:r w:rsidRPr="0044279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ярмарок» Роменської міської ради»</w:t>
      </w:r>
    </w:p>
    <w:p w:rsidR="002955FF" w:rsidRDefault="00E916D5" w:rsidP="002955FF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надає послуги суб’єктам підприємницької діяльності у сфері торгівлі на ринку, виконує роботи з обслуговування території ринку та Міського парку культури і відпочинку ім. </w:t>
      </w:r>
      <w:r w:rsidRPr="002955FF">
        <w:rPr>
          <w:rFonts w:ascii="Times New Roman" w:hAnsi="Times New Roman" w:cs="Times New Roman"/>
          <w:sz w:val="24"/>
          <w:szCs w:val="24"/>
          <w:lang w:val="uk-UA"/>
        </w:rPr>
        <w:t>Т. Г. Шевченка.</w:t>
      </w:r>
    </w:p>
    <w:p w:rsidR="002C538C" w:rsidRDefault="00E916D5" w:rsidP="00934334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t>Середньооблікова кількість штатних працівників: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16 осіб, у т</w:t>
      </w:r>
      <w:r>
        <w:rPr>
          <w:rFonts w:ascii="Times New Roman" w:hAnsi="Times New Roman" w:cs="Times New Roman"/>
          <w:sz w:val="24"/>
          <w:szCs w:val="24"/>
          <w:lang w:val="uk-UA"/>
        </w:rPr>
        <w:t>ому числі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адміністративний персонал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, працівники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  <w:r w:rsidR="007A34BE" w:rsidRPr="007A3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34334" w:rsidRPr="0093433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3433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934334" w:rsidRDefault="002C538C" w:rsidP="002C538C">
      <w:pPr>
        <w:tabs>
          <w:tab w:val="left" w:pos="993"/>
        </w:tabs>
        <w:spacing w:line="271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6</w:t>
      </w:r>
      <w:r w:rsidR="009343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7"/>
        <w:gridCol w:w="1224"/>
        <w:gridCol w:w="1263"/>
        <w:gridCol w:w="3274"/>
      </w:tblGrid>
      <w:tr w:rsidR="00934334" w:rsidRPr="00ED2B0A" w:rsidTr="005A11DB">
        <w:trPr>
          <w:trHeight w:val="28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934334" w:rsidRPr="00ED2B0A" w:rsidTr="005A11DB">
        <w:trPr>
          <w:trHeight w:val="295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500315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34334" w:rsidRPr="0090638F" w:rsidTr="005A11DB">
        <w:trPr>
          <w:trHeight w:val="114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307E9C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відхилення показників пояснюється </w:t>
            </w:r>
            <w:r w:rsidR="00CD04FA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підвищенням мінімального розміру заробітної плати та прожиткового мінімуму для працездатних осіб</w:t>
            </w:r>
          </w:p>
        </w:tc>
      </w:tr>
      <w:tr w:rsidR="00934334" w:rsidRPr="0090638F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D24195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зумовлено підвищенням мінімального розміру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934334" w:rsidRPr="0090638F" w:rsidTr="005A11DB">
        <w:trPr>
          <w:trHeight w:val="19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506A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506A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1600B0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A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ростання видаткової частини пояснюється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збільшенням витрат на оплату праці, оплату комунальних послуг  та виконаних робіт з благоустрою міського парку</w:t>
            </w: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B04D14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B04D14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07E9C" w:rsidRPr="00ED2B0A" w:rsidTr="00504E5F">
        <w:trPr>
          <w:trHeight w:val="269"/>
        </w:trPr>
        <w:tc>
          <w:tcPr>
            <w:tcW w:w="3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34334" w:rsidRPr="004975DE" w:rsidTr="005A11DB">
        <w:trPr>
          <w:trHeight w:val="118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6C66EA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еревищення планових показників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рахунок 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збільшення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надходжень від надання торгових місць та виконанням обсягів робіт з утримання території міського парку</w:t>
            </w:r>
          </w:p>
        </w:tc>
      </w:tr>
      <w:tr w:rsidR="00934334" w:rsidRPr="00D75BFA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934334" w:rsidRPr="00E2712C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A27B7A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4722F1" w:rsidTr="005A11DB">
        <w:trPr>
          <w:trHeight w:val="4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7F4786" w:rsidRDefault="007F4786" w:rsidP="00E916D5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>Чистий до</w:t>
      </w:r>
      <w:r>
        <w:rPr>
          <w:rFonts w:ascii="Times New Roman" w:hAnsi="Times New Roman" w:cs="Times New Roman"/>
          <w:sz w:val="24"/>
          <w:szCs w:val="24"/>
          <w:lang w:val="uk-UA"/>
        </w:rPr>
        <w:t>хід  підприємства  за  2025 р</w:t>
      </w:r>
      <w:r w:rsidR="005A11DB">
        <w:rPr>
          <w:rFonts w:ascii="Times New Roman" w:hAnsi="Times New Roman" w:cs="Times New Roman"/>
          <w:sz w:val="24"/>
          <w:szCs w:val="24"/>
          <w:lang w:val="uk-UA"/>
        </w:rPr>
        <w:t>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3 773,5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 грн. в 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>ч. дохід від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25DB" w:rsidRDefault="00C525DB" w:rsidP="00E916D5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по ринку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2 053,7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, кошт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місцевого бюджету за послуги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іського парку культури та відпочинку ім. Т.Г. Шевченка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1 719,8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грн. В порівнянні  з плановими показниками  надходження коштів від надання послуг по ринку за </w:t>
      </w:r>
      <w:r w:rsidR="006D072C">
        <w:rPr>
          <w:rFonts w:ascii="Times New Roman" w:hAnsi="Times New Roman" w:cs="Times New Roman"/>
          <w:sz w:val="24"/>
          <w:szCs w:val="24"/>
          <w:lang w:val="uk-UA"/>
        </w:rPr>
        <w:t>звітний період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збільшилися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32,7</w:t>
      </w:r>
      <w:r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Default="00442790" w:rsidP="00442790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Витрати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за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становлять 3 725,4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порівнянні з плановим показник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CD4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збільшились 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31,5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%, що пов’язано </w:t>
      </w:r>
      <w:r w:rsidR="006108AC" w:rsidRPr="00250B1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>з збільшенням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заробітну плату, оплату комунальних послуг</w:t>
      </w:r>
      <w:r w:rsidR="00677044">
        <w:rPr>
          <w:rFonts w:ascii="Times New Roman" w:hAnsi="Times New Roman" w:cs="Times New Roman"/>
          <w:sz w:val="24"/>
          <w:szCs w:val="24"/>
          <w:lang w:val="uk-UA"/>
        </w:rPr>
        <w:t xml:space="preserve"> та збільшення виконаних робіт по благоустрою міського парку, оплати податків до місцевого та державного бюджету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тощо.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Поточна дебіторська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 xml:space="preserve"> заборгованість  на 01.01.2026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6EA" w:rsidRPr="00256609">
        <w:rPr>
          <w:rFonts w:ascii="Times New Roman" w:eastAsia="Calibri" w:hAnsi="Times New Roman" w:cs="Times New Roman"/>
          <w:lang w:val="uk-UA"/>
        </w:rPr>
        <w:t>–</w:t>
      </w:r>
      <w:r w:rsidR="006C66EA"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23,1 тис. грн, в т.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по ЄСВ 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22%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3,5</w:t>
      </w:r>
      <w:r w:rsidR="00327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тис. 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унки з  бюджетом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3,4 тис.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розрахунки по оплаті праці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16,2 тис. грн.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Поточна кредиторська заборгованість на 01.0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>1.2026</w:t>
      </w:r>
      <w:r w:rsidR="009751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7B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17,4 тис. грн, в т. ч.: КП «Міськводоканал» РМР»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1,1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грн, 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КП «</w:t>
      </w:r>
      <w:proofErr w:type="spellStart"/>
      <w:r w:rsidR="003D33A8">
        <w:rPr>
          <w:rFonts w:ascii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3D33A8">
        <w:rPr>
          <w:rFonts w:ascii="Times New Roman" w:hAnsi="Times New Roman" w:cs="Times New Roman"/>
          <w:sz w:val="24"/>
          <w:szCs w:val="24"/>
          <w:lang w:val="uk-UA"/>
        </w:rPr>
        <w:t>» РМР»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8,3 тис. грн,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ФОП «</w:t>
      </w:r>
      <w:proofErr w:type="spellStart"/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Брайко</w:t>
      </w:r>
      <w:proofErr w:type="spellEnd"/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Ю.В.»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>8,0 тис. грн.</w:t>
      </w:r>
    </w:p>
    <w:p w:rsidR="00EF2438" w:rsidRDefault="00EF2438" w:rsidP="00821820">
      <w:pPr>
        <w:tabs>
          <w:tab w:val="left" w:pos="99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438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>аном на 25.01.2026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дебіторська та кредиторська заборгованість виплачена.</w:t>
      </w:r>
    </w:p>
    <w:p w:rsidR="008751BC" w:rsidRDefault="0010687D" w:rsidP="00307E9C">
      <w:pPr>
        <w:tabs>
          <w:tab w:val="left" w:pos="990"/>
        </w:tabs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підсумками 2025 року підприємство отримало чисти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й прибуток в сумі 39,4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значно перевищує 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>плановий показник (8,2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A29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76B4" w:rsidRDefault="00F476B4" w:rsidP="006255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«Роменське міськрайонне бюро технічної інвентаризації»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Підприємство надає послуги, пов’язані із проведенням технічної інвентаризації об’єктів нерухомого майна з виготовленням відповідної технічної документації.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працівників - 10 осіб.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Таблиця 7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3681"/>
        <w:gridCol w:w="1283"/>
        <w:gridCol w:w="1275"/>
        <w:gridCol w:w="3537"/>
      </w:tblGrid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Факт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року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07E9C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F476B4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080,5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307E9C" w:rsidRDefault="005E0B5A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відхилення </w:t>
            </w:r>
            <w:r w:rsidR="00CE3908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 рахунок </w:t>
            </w:r>
            <w:proofErr w:type="spellStart"/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збіль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шення</w:t>
            </w:r>
            <w:proofErr w:type="spellEnd"/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кількості 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штатних </w:t>
            </w:r>
            <w:proofErr w:type="spellStart"/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цівників</w:t>
            </w:r>
            <w:proofErr w:type="spellEnd"/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підвищенням міні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мального</w:t>
            </w:r>
            <w:proofErr w:type="spellEnd"/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розміру  заробітної </w:t>
            </w:r>
          </w:p>
        </w:tc>
      </w:tr>
      <w:tr w:rsidR="00307E9C" w:rsidTr="00504E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504E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504E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504E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307E9C" w:rsidRDefault="00307E9C" w:rsidP="00504E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07E9C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307E9C" w:rsidRDefault="00307E9C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плати та прожиткового мінімуму для працездатних осіб</w:t>
            </w:r>
          </w:p>
        </w:tc>
      </w:tr>
      <w:tr w:rsidR="00F476B4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1427B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307E9C" w:rsidRDefault="00E56AAB" w:rsidP="00F476B4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зростання зумовлено пі</w:t>
            </w:r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двищенням мінімального розміру </w:t>
            </w: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заробітної плати та прожиткового мінімуму для працездатних осіб</w:t>
            </w:r>
          </w:p>
        </w:tc>
      </w:tr>
      <w:tr w:rsidR="00F476B4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витрат від звичайної діяльності, тис. грн, в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715,0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5E0B5A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еревищення плану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відбулося</w:t>
            </w:r>
            <w:r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внаслідок збільшення кіль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кості виконаних робіт та послуг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575,5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139,5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9751BB" w:rsidRDefault="00F476B4" w:rsidP="00F476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751BB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262,1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5E0B5A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збільшення </w:t>
            </w:r>
            <w:r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зумовлене зростанням обсягів наданих послуг та виконаних робіт у звітному періоді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543,7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90638F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доходів, тис. грн, 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412,1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5E0B5A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перевищення показника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рахунок зростання обсягів </w:t>
            </w:r>
            <w:r w:rsidR="0052747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виконаних 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робіт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фінансові доходи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Чистий прибуток (+), збиток (–),</w:t>
            </w:r>
          </w:p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722F1" w:rsidRPr="007E1A5B" w:rsidRDefault="00E916D5" w:rsidP="001658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0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4722F1" w:rsidRPr="005A603F">
        <w:rPr>
          <w:lang w:val="uk-UA"/>
        </w:rPr>
        <w:t xml:space="preserve"> </w:t>
      </w:r>
      <w:r w:rsidR="00051DB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На 2025 рік </w:t>
      </w:r>
      <w:r w:rsidR="004722F1" w:rsidRPr="00307E9C">
        <w:rPr>
          <w:rFonts w:ascii="Times New Roman" w:hAnsi="Times New Roman" w:cs="Times New Roman"/>
          <w:sz w:val="24"/>
          <w:szCs w:val="24"/>
          <w:lang w:val="uk-UA"/>
        </w:rPr>
        <w:t>дохо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ди від реалізації послуг були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>запланован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у сумі 1</w:t>
      </w:r>
      <w:r w:rsidR="00FC366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>882,8 тис. грн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фактично 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отримано доходів -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FC366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1BB" w:rsidRPr="00307E9C">
        <w:rPr>
          <w:rFonts w:ascii="Times New Roman" w:hAnsi="Times New Roman" w:cs="Times New Roman"/>
          <w:sz w:val="24"/>
          <w:szCs w:val="24"/>
          <w:lang w:val="uk-UA"/>
        </w:rPr>
        <w:t>718,4 тис. грн</w:t>
      </w:r>
      <w:r w:rsidR="009751BB" w:rsidRPr="00307E9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. </w:t>
      </w:r>
      <w:r w:rsidR="00651FFC" w:rsidRPr="00307E9C">
        <w:rPr>
          <w:rFonts w:ascii="Times New Roman" w:hAnsi="Times New Roman" w:cs="Times New Roman"/>
          <w:sz w:val="24"/>
          <w:szCs w:val="24"/>
          <w:lang w:val="uk-UA"/>
        </w:rPr>
        <w:t>Перевиконання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лану становить 44,4% (або на  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>835,6 тис. грн) за рахунок збільшення обсягів надання послуг.</w:t>
      </w:r>
    </w:p>
    <w:p w:rsidR="004722F1" w:rsidRPr="00651FFC" w:rsidRDefault="00051DBF" w:rsidP="00165862">
      <w:pPr>
        <w:spacing w:after="0" w:line="276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Всього за звітний період витра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 планувалися в сумі 1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880,0 тис. грн, але фактично вони становили  2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715,0 тис. грн.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>Витрати збільшилися на 44,4% від запланованого показника за рахунок оплати праці у зв’язку зі збільшенням чисельності працівни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ків та зростанням обсягів 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 xml:space="preserve">виконаних 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>робіт.</w:t>
      </w:r>
    </w:p>
    <w:p w:rsidR="004722F1" w:rsidRDefault="00183BA7" w:rsidP="00165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За підсумками звітного періоду підпр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иємство  отримало прибуток – 2,8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с. грн, що на 22%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 більше запланованого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51DBF">
        <w:rPr>
          <w:rFonts w:ascii="Times New Roman" w:hAnsi="Times New Roman" w:cs="Times New Roman"/>
          <w:sz w:val="24"/>
          <w:szCs w:val="24"/>
          <w:lang w:val="uk-UA"/>
        </w:rPr>
        <w:t>2,3 тис. грн)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DBF">
        <w:rPr>
          <w:rFonts w:ascii="Times New Roman" w:hAnsi="Times New Roman" w:cs="Times New Roman"/>
          <w:sz w:val="24"/>
          <w:szCs w:val="24"/>
          <w:lang w:val="uk-UA"/>
        </w:rPr>
        <w:t>за рахунок зростання обсягів робіт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5D90" w:rsidRDefault="00775D90" w:rsidP="003368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07E9C" w:rsidRDefault="00307E9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br w:type="page"/>
      </w:r>
    </w:p>
    <w:p w:rsidR="00C525DB" w:rsidRPr="004722F1" w:rsidRDefault="00C525DB" w:rsidP="003368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21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Комунальне підприємство «Міськводоканал» Роменської міської ради»</w:t>
      </w:r>
    </w:p>
    <w:p w:rsidR="00C525DB" w:rsidRPr="00421C51" w:rsidRDefault="00C525DB" w:rsidP="00C525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C525DB" w:rsidRPr="00421C51" w:rsidRDefault="00C525DB" w:rsidP="00C525D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надає послуги з централізованого водопостачання та водовідведення, 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вивезенн</w:t>
      </w:r>
      <w:r w:rsidR="00FF5649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7A33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рідких побутових відходів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населенню, бюджетним установам та іншим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споживачам.</w:t>
      </w:r>
    </w:p>
    <w:p w:rsidR="00C525DB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Середньооблікова кіл</w:t>
      </w:r>
      <w:r w:rsidR="007879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ькість штатних працівників – 129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осіб.</w:t>
      </w:r>
      <w:r w:rsidRPr="00421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AF5B1C" w:rsidRDefault="00AF5B1C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 w:rsidRPr="00AF5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8</w:t>
      </w: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2"/>
        <w:gridCol w:w="1212"/>
        <w:gridCol w:w="1248"/>
        <w:gridCol w:w="3325"/>
      </w:tblGrid>
      <w:tr w:rsidR="007F0454" w:rsidRPr="00ED2B0A" w:rsidTr="00307E9C">
        <w:trPr>
          <w:trHeight w:val="294"/>
        </w:trPr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7F0454" w:rsidRPr="00ED2B0A" w:rsidTr="00307E9C">
        <w:trPr>
          <w:trHeight w:val="308"/>
        </w:trPr>
        <w:tc>
          <w:tcPr>
            <w:tcW w:w="3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307E9C">
        <w:trPr>
          <w:trHeight w:val="280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500315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F0454" w:rsidRPr="0090638F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588,0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6B7978" w:rsidRDefault="003368AF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B7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за рахунок</w:t>
            </w:r>
            <w:r w:rsidR="007F0454" w:rsidRPr="006B7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підвищення посадових окладів працівників</w:t>
            </w:r>
          </w:p>
        </w:tc>
      </w:tr>
      <w:tr w:rsidR="007F0454" w:rsidRPr="0090638F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E56AAB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зумовлено підвищенням мінімального розміру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7F0454" w:rsidRPr="00E2712C" w:rsidTr="00307E9C">
        <w:trPr>
          <w:trHeight w:val="89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624,8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90638F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6B7978" w:rsidP="006B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еревищення планов</w:t>
            </w:r>
            <w:r w:rsidR="00B21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</w:t>
            </w:r>
            <w:r w:rsidR="00B21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зумовлене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суттєвим подорожчанням матеріалів та сторонніх послуг</w:t>
            </w:r>
          </w:p>
        </w:tc>
      </w:tr>
      <w:tr w:rsidR="007F0454" w:rsidRPr="0090638F" w:rsidTr="00307E9C">
        <w:trPr>
          <w:trHeight w:val="46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374,5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6B7978" w:rsidP="006B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ідхилення від прогнозних показників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з 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подорожчанням матеріальних ресурсів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послуг сторонніх організацій</w:t>
            </w:r>
          </w:p>
        </w:tc>
      </w:tr>
      <w:tr w:rsidR="007F0454" w:rsidRPr="0090638F" w:rsidTr="00307E9C">
        <w:trPr>
          <w:trHeight w:val="102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884,4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882,6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9C5EA7" w:rsidP="009C5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ростання витрат зумовлене зміною структури операцій</w:t>
            </w:r>
            <w:r w:rsidR="0030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них видатків підприємства. Перевищення планових показників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ього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перерозподіл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витрат на оплату праці, що стало наслідком </w:t>
            </w:r>
            <w:proofErr w:type="spellStart"/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</w:t>
            </w:r>
            <w:r w:rsidR="0030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</w:t>
            </w:r>
            <w:proofErr w:type="spellEnd"/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абонентського обслуговування споживачів</w:t>
            </w:r>
          </w:p>
        </w:tc>
      </w:tr>
      <w:tr w:rsidR="007F0454" w:rsidRPr="0090638F" w:rsidTr="00307E9C">
        <w:trPr>
          <w:trHeight w:val="547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315,5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427DE4" w:rsidP="00427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еревищення планового по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казника</w:t>
            </w:r>
            <w:proofErr w:type="spellEnd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обумовлене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нараху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ванням</w:t>
            </w:r>
            <w:proofErr w:type="spellEnd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виплат за листками непрацездатності та </w:t>
            </w:r>
            <w:proofErr w:type="spellStart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ням</w:t>
            </w:r>
            <w:proofErr w:type="spellEnd"/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вартості розрахунково-касового обслуговування у звітному періоді</w:t>
            </w:r>
          </w:p>
        </w:tc>
      </w:tr>
      <w:tr w:rsidR="00307E9C" w:rsidRPr="00ED2B0A" w:rsidTr="00307E9C">
        <w:trPr>
          <w:trHeight w:val="280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504E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F0454" w:rsidRPr="00ED2B0A" w:rsidTr="00307E9C">
        <w:trPr>
          <w:trHeight w:val="2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307E9C">
        <w:trPr>
          <w:trHeight w:val="28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A27B7A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307E9C">
        <w:trPr>
          <w:trHeight w:val="2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589,4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657,8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307E9C">
        <w:trPr>
          <w:trHeight w:val="2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276,3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671,2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346,4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991,2</w:t>
            </w:r>
          </w:p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928,5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90638F" w:rsidTr="00307E9C">
        <w:trPr>
          <w:trHeight w:val="547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430,0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CC13F1" w:rsidRDefault="00001AE7" w:rsidP="00001A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01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 за рахунок залучення фінансової підтримки з місцевого бюджету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001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обсягу нарахованої амортизації внаслідок розширення матеріально-технічної бази</w:t>
            </w:r>
          </w:p>
        </w:tc>
      </w:tr>
      <w:tr w:rsidR="007F0454" w:rsidRPr="0090638F" w:rsidTr="00307E9C">
        <w:trPr>
          <w:trHeight w:val="53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987,9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B210A1" w:rsidRDefault="00B210A1" w:rsidP="0016586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Відхилення за рахунок</w:t>
            </w:r>
            <w:r w:rsidR="00001AE7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фактично нарахованої амортизації</w:t>
            </w:r>
            <w:r w:rsidR="007F0454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на б</w:t>
            </w:r>
            <w:r w:rsidR="00165862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езкоштовно</w:t>
            </w:r>
            <w:r w:rsidR="007F0454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отримані основні засоби</w:t>
            </w: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9634A7" w:rsidRDefault="00723A77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46,5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F476B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="00591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</w:t>
            </w:r>
          </w:p>
          <w:p w:rsidR="007F0454" w:rsidRPr="009634A7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357EB7" w:rsidRDefault="00787954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4975DE">
        <w:rPr>
          <w:rFonts w:ascii="Times New Roman" w:hAnsi="Times New Roman" w:cs="Times New Roman"/>
          <w:sz w:val="24"/>
          <w:szCs w:val="24"/>
          <w:lang w:val="uk-UA"/>
        </w:rPr>
        <w:t xml:space="preserve"> 2025 рік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чистий дохід підприємства від реалізації  послуг </w:t>
      </w:r>
      <w:r w:rsidR="00CA50A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основної діяльності склав 36 928,5 тис. грн, з них 19 688,9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</w:t>
      </w:r>
      <w:r w:rsidR="00CA50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A50A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>дохід від надання послуг це</w:t>
      </w:r>
      <w:r>
        <w:rPr>
          <w:rFonts w:ascii="Times New Roman" w:hAnsi="Times New Roman" w:cs="Times New Roman"/>
          <w:sz w:val="24"/>
          <w:szCs w:val="24"/>
          <w:lang w:val="uk-UA"/>
        </w:rPr>
        <w:t>нтралізованого водопостачання, 13 849,0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– централізованого водовідведення,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3 210,9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– збирання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та перевезення рідких відходів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, 179,7 тис. грн </w:t>
      </w:r>
      <w:r w:rsidR="001427BD" w:rsidRPr="00AC1D6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плата за абонентське обслуговування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7EB7" w:rsidRPr="00307E9C" w:rsidRDefault="00357EB7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7EB7">
        <w:rPr>
          <w:rFonts w:ascii="Times New Roman" w:hAnsi="Times New Roman" w:cs="Times New Roman"/>
          <w:sz w:val="24"/>
          <w:szCs w:val="24"/>
          <w:lang w:val="uk-UA"/>
        </w:rPr>
        <w:t>Інші операційні доходи склали 13 430,0 тис. грн при запланованих 3 800,0 тис. грн. Зростання зумовлено залученням фінансової підтримки з місцевого бюджету та збільшенням обсягу нарахованої амортизації внаслідок розширення матеріально-технічної бази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57EB7">
        <w:rPr>
          <w:rFonts w:ascii="Times New Roman" w:hAnsi="Times New Roman" w:cs="Times New Roman"/>
          <w:sz w:val="24"/>
          <w:szCs w:val="24"/>
          <w:lang w:val="uk-UA"/>
        </w:rPr>
        <w:t xml:space="preserve">Інші доходи склали 5 987,9 тис. грн при запланованих 3 880,0 тис. грн. Збільшення показника </w:t>
      </w:r>
      <w:r w:rsidRPr="00307E9C">
        <w:rPr>
          <w:rFonts w:ascii="Times New Roman" w:hAnsi="Times New Roman" w:cs="Times New Roman"/>
          <w:sz w:val="24"/>
          <w:szCs w:val="24"/>
          <w:lang w:val="uk-UA"/>
        </w:rPr>
        <w:t>зумовлено нарахуванням амортизації на безоплатно отримані основні засоби</w:t>
      </w:r>
      <w:r w:rsidR="00C74F9F" w:rsidRPr="00307E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Pr="00C74F9F" w:rsidRDefault="00787954" w:rsidP="007F0A4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07E9C">
        <w:rPr>
          <w:rFonts w:ascii="Times New Roman" w:hAnsi="Times New Roman" w:cs="Times New Roman"/>
          <w:sz w:val="24"/>
          <w:szCs w:val="24"/>
          <w:lang w:val="uk-UA"/>
        </w:rPr>
        <w:t>Всього за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2025 рік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отримало </w:t>
      </w:r>
      <w:r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56 346,4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тис. грн доходу, що більше 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запланованого показника </w:t>
      </w:r>
      <w:r w:rsidR="000F5499" w:rsidRPr="00307E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F6E85" w:rsidRPr="00307E9C">
        <w:rPr>
          <w:rFonts w:ascii="Times New Roman" w:hAnsi="Times New Roman" w:cs="Times New Roman"/>
          <w:sz w:val="24"/>
          <w:szCs w:val="24"/>
          <w:lang w:val="uk-UA"/>
        </w:rPr>
        <w:t>45 671,2</w:t>
      </w:r>
      <w:r w:rsidR="001427B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0F5499" w:rsidRPr="00307E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F6E8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на 23,4%.</w:t>
      </w:r>
    </w:p>
    <w:p w:rsidR="00C525DB" w:rsidRPr="00AC1D69" w:rsidRDefault="006F6E85" w:rsidP="007F0A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Всього за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>2025 р</w:t>
      </w:r>
      <w:r w:rsidR="007F3A88">
        <w:rPr>
          <w:rFonts w:ascii="Times New Roman" w:hAnsi="Times New Roman" w:cs="Times New Roman"/>
          <w:sz w:val="24"/>
          <w:szCs w:val="24"/>
          <w:lang w:val="uk-UA"/>
        </w:rPr>
        <w:t xml:space="preserve">ік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витрати підприємства склали 56 321,3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грн, що на</w:t>
      </w:r>
      <w:r w:rsidR="00470D1D">
        <w:rPr>
          <w:rFonts w:ascii="Times New Roman" w:hAnsi="Times New Roman" w:cs="Times New Roman"/>
          <w:sz w:val="24"/>
          <w:szCs w:val="24"/>
          <w:lang w:val="uk-UA"/>
        </w:rPr>
        <w:t xml:space="preserve"> 23,4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% більше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апланованого показника </w:t>
      </w:r>
      <w:r w:rsidR="007F3A88">
        <w:rPr>
          <w:rFonts w:ascii="Times New Roman" w:hAnsi="Times New Roman" w:cs="Times New Roman"/>
          <w:sz w:val="24"/>
          <w:szCs w:val="24"/>
          <w:lang w:val="uk-UA"/>
        </w:rPr>
        <w:t xml:space="preserve">˗ </w:t>
      </w:r>
      <w:r>
        <w:rPr>
          <w:rFonts w:ascii="Times New Roman" w:hAnsi="Times New Roman" w:cs="Times New Roman"/>
          <w:sz w:val="24"/>
          <w:szCs w:val="24"/>
          <w:lang w:val="uk-UA"/>
        </w:rPr>
        <w:t>45 614,6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Збільшення витрат пояснюється зростанням цін на електроенергію, паливо, сировину та основні матеріали, послуги сторонніх організацій.</w:t>
      </w:r>
    </w:p>
    <w:p w:rsidR="00C525DB" w:rsidRDefault="00C525DB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D69">
        <w:rPr>
          <w:rFonts w:ascii="Times New Roman" w:hAnsi="Times New Roman" w:cs="Times New Roman"/>
          <w:sz w:val="24"/>
          <w:szCs w:val="24"/>
          <w:lang w:val="uk-UA"/>
        </w:rPr>
        <w:t>Заборгованість з виплати заробітної плати та зі сплати податків відсутня.</w:t>
      </w:r>
    </w:p>
    <w:p w:rsidR="00510E7F" w:rsidRP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Дебіторська заборгованість станом на 31.12.2025 становить 5 559,3 тис. грн, в тому числі: 4 791,6 тис. грн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заборгованість за послуги водопостачання, водовідведення та інші послуги,  (у тому числі 1 388,1 тис. грн 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прострочена заборгованість), за розрахунками з бюджетом – 573,1 тис. грн, інша поточна дебіторська заборгованість (аванси, судовий збір) – 194,6 тис. грн.</w:t>
      </w:r>
    </w:p>
    <w:p w:rsidR="00510E7F" w:rsidRP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 метою стягнення дебіторської заборгованості з населення та  юридичних осіб підприємством ведеться претензійно-позовна та роз’яснювальна робота зі споживачами послуг. </w:t>
      </w:r>
    </w:p>
    <w:p w:rsid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Поточні зобов’язання  підприємства складають 5 593,2 тис. грн, з них: 3 032,6  тис. грн –кредиторська заборгованість за товари, роботи, послуги, 721,5 тис. грн – поточна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lastRenderedPageBreak/>
        <w:t>заборгованість до бюджету, 813,4 тис. грн – поточна заборгованість з оплати праці,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224,1 тис. грн – поточн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а заборгованість зі страхування,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801,6 тис. грн – інші поточні зобов’язання (ПДВ, яке буде відображене в майбутніх періодах).</w:t>
      </w:r>
    </w:p>
    <w:p w:rsidR="00510E7F" w:rsidRDefault="005A603F" w:rsidP="00510E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2025 рік</w:t>
      </w:r>
      <w:r w:rsidR="00510E7F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отримало прибут</w:t>
      </w:r>
      <w:r>
        <w:rPr>
          <w:rFonts w:ascii="Times New Roman" w:hAnsi="Times New Roman" w:cs="Times New Roman"/>
          <w:sz w:val="24"/>
          <w:szCs w:val="24"/>
          <w:lang w:val="uk-UA"/>
        </w:rPr>
        <w:t>ок у сумі 8,0 тис. грн.</w:t>
      </w:r>
    </w:p>
    <w:p w:rsidR="00A32239" w:rsidRDefault="00A32239" w:rsidP="00510E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25DB" w:rsidRPr="00FC5463" w:rsidRDefault="00C525DB" w:rsidP="00FC5463">
      <w:pPr>
        <w:shd w:val="clear" w:color="auto" w:fill="FFFFFF"/>
        <w:spacing w:after="0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EC6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Підсумки:</w:t>
      </w:r>
    </w:p>
    <w:p w:rsidR="00C525DB" w:rsidRPr="00EC6878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результатами  роботи 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2025 ро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</w:t>
      </w: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8 підприємств:</w:t>
      </w:r>
    </w:p>
    <w:p w:rsidR="00C525DB" w:rsidRPr="005B708D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спрацювали з прибутковими показниками: КП «Житло-</w:t>
      </w:r>
      <w:proofErr w:type="spellStart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Експлутація</w:t>
      </w:r>
      <w:proofErr w:type="spellEnd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РМР» (ФІЛІМОНОВА Олена), КП «</w:t>
      </w:r>
      <w:proofErr w:type="spellStart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Ільїнський</w:t>
      </w:r>
      <w:proofErr w:type="spellEnd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ярмарок» РМР» (РІПЧАНСЬКИЙ Роман), КП «</w:t>
      </w:r>
      <w:proofErr w:type="spellStart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Ромникомунтепло</w:t>
      </w:r>
      <w:proofErr w:type="spellEnd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РМР» (МЕГА Віталій), КП «Роменське 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МРБТІ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(РІШНЯК Анатолій), КП);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«Міськводоканал» РМР» (ГОЛУБ Віктор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«ККП» РМР» (ЩЕРБАК Ігор)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C525DB" w:rsidRPr="00683CA6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спрацювал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 беззбитковим результатом: КП «</w:t>
      </w:r>
      <w:proofErr w:type="spellStart"/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Ромнитранссервіс</w:t>
      </w:r>
      <w:proofErr w:type="spellEnd"/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(КОТЛЯРОВ Анатолій);</w:t>
      </w:r>
    </w:p>
    <w:p w:rsidR="00C525DB" w:rsidRPr="0046634C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виконали показники фінансов</w:t>
      </w:r>
      <w:r w:rsidR="00FC36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ого плану та отримали збиток: 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КП «</w:t>
      </w:r>
      <w:proofErr w:type="spellStart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Ромнитеплосервіс</w:t>
      </w:r>
      <w:proofErr w:type="spellEnd"/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РМР (КУЗНЄЦОВ Нікіта)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Пропозиції:</w:t>
      </w:r>
    </w:p>
    <w:p w:rsidR="00C525DB" w:rsidRPr="0046634C" w:rsidRDefault="00C525DB" w:rsidP="00C525DB">
      <w:pPr>
        <w:shd w:val="clear" w:color="auto" w:fill="FEFEFE"/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посилити контроль за своєчасністю розрахунків за використані енергоносії, сплатою податків та інших обов`язкових платежів;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вжити заходів щодо підвищення якості нада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ння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 та послуг; 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C525DB" w:rsidRPr="00D8716D" w:rsidRDefault="00D8716D" w:rsidP="00C525DB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8716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Пропонуємо зняти з контролю у зв’язку із закінченням терміну дії рішення виконавчого комітету</w:t>
      </w:r>
      <w:r w:rsidRPr="00D8716D">
        <w:rPr>
          <w:color w:val="000000"/>
          <w:sz w:val="27"/>
          <w:szCs w:val="27"/>
          <w:lang w:val="uk-UA"/>
        </w:rPr>
        <w:t xml:space="preserve">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ради від </w:t>
      </w:r>
      <w:r w:rsidR="00C525DB" w:rsidRPr="00D87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рік».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2E557F" w:rsidRDefault="002E557F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Начальник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У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економічного 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Розвитку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Роменської міської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 w:rsidR="00AD5B1E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      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Юлія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БІЛОУС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ПОГОДЖЕНО                                       </w:t>
      </w:r>
    </w:p>
    <w:p w:rsidR="0046634C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Заступник міського голови з питань діяльності          </w:t>
      </w:r>
    </w:p>
    <w:p w:rsidR="00AD5B1E" w:rsidRPr="00A86CC5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виконавчих органів ради                                                                      Олена ВАХТЕРОВА</w:t>
      </w:r>
    </w:p>
    <w:sectPr w:rsidR="00AD5B1E" w:rsidRPr="00A86CC5" w:rsidSect="00132179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62A" w:rsidRDefault="00F3162A" w:rsidP="007F0454">
      <w:pPr>
        <w:spacing w:after="0" w:line="240" w:lineRule="auto"/>
      </w:pPr>
      <w:r>
        <w:separator/>
      </w:r>
    </w:p>
  </w:endnote>
  <w:endnote w:type="continuationSeparator" w:id="0">
    <w:p w:rsidR="00F3162A" w:rsidRDefault="00F3162A" w:rsidP="007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62A" w:rsidRDefault="00F3162A" w:rsidP="007F0454">
      <w:pPr>
        <w:spacing w:after="0" w:line="240" w:lineRule="auto"/>
      </w:pPr>
      <w:r>
        <w:separator/>
      </w:r>
    </w:p>
  </w:footnote>
  <w:footnote w:type="continuationSeparator" w:id="0">
    <w:p w:rsidR="00F3162A" w:rsidRDefault="00F3162A" w:rsidP="007F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4BD9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8002CF"/>
    <w:multiLevelType w:val="hybridMultilevel"/>
    <w:tmpl w:val="A80086EE"/>
    <w:lvl w:ilvl="0" w:tplc="D798A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6F08CA"/>
    <w:multiLevelType w:val="hybridMultilevel"/>
    <w:tmpl w:val="1A4A02A2"/>
    <w:lvl w:ilvl="0" w:tplc="543E5F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484"/>
    <w:multiLevelType w:val="hybridMultilevel"/>
    <w:tmpl w:val="91004B38"/>
    <w:lvl w:ilvl="0" w:tplc="234C9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D353B"/>
    <w:multiLevelType w:val="hybridMultilevel"/>
    <w:tmpl w:val="890AC55A"/>
    <w:lvl w:ilvl="0" w:tplc="6F1E72A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16240"/>
    <w:multiLevelType w:val="hybridMultilevel"/>
    <w:tmpl w:val="070CA380"/>
    <w:lvl w:ilvl="0" w:tplc="1F4622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CD77D54"/>
    <w:multiLevelType w:val="hybridMultilevel"/>
    <w:tmpl w:val="4F526BD2"/>
    <w:lvl w:ilvl="0" w:tplc="30C67C1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4C"/>
    <w:rsid w:val="00001AE7"/>
    <w:rsid w:val="00006A74"/>
    <w:rsid w:val="00017576"/>
    <w:rsid w:val="000250BF"/>
    <w:rsid w:val="00034E0D"/>
    <w:rsid w:val="00037841"/>
    <w:rsid w:val="000430BA"/>
    <w:rsid w:val="00051DBF"/>
    <w:rsid w:val="00061DAD"/>
    <w:rsid w:val="000645FC"/>
    <w:rsid w:val="00074240"/>
    <w:rsid w:val="000822A2"/>
    <w:rsid w:val="00090B74"/>
    <w:rsid w:val="000A17AA"/>
    <w:rsid w:val="000A1F71"/>
    <w:rsid w:val="000B2814"/>
    <w:rsid w:val="000B60C6"/>
    <w:rsid w:val="000D35AD"/>
    <w:rsid w:val="000D77AA"/>
    <w:rsid w:val="000D7F66"/>
    <w:rsid w:val="000E370B"/>
    <w:rsid w:val="000E4012"/>
    <w:rsid w:val="000E50E2"/>
    <w:rsid w:val="000E66D7"/>
    <w:rsid w:val="000F2CA3"/>
    <w:rsid w:val="000F5499"/>
    <w:rsid w:val="000F54A2"/>
    <w:rsid w:val="000F5E8F"/>
    <w:rsid w:val="001056B6"/>
    <w:rsid w:val="0010687D"/>
    <w:rsid w:val="00122BD8"/>
    <w:rsid w:val="0012727C"/>
    <w:rsid w:val="00127648"/>
    <w:rsid w:val="00130AA2"/>
    <w:rsid w:val="00132179"/>
    <w:rsid w:val="00136EFD"/>
    <w:rsid w:val="00142431"/>
    <w:rsid w:val="001427BD"/>
    <w:rsid w:val="00146A55"/>
    <w:rsid w:val="00147176"/>
    <w:rsid w:val="00154802"/>
    <w:rsid w:val="00156D40"/>
    <w:rsid w:val="001600B0"/>
    <w:rsid w:val="00160741"/>
    <w:rsid w:val="00165862"/>
    <w:rsid w:val="001676C0"/>
    <w:rsid w:val="00177168"/>
    <w:rsid w:val="00182E76"/>
    <w:rsid w:val="00183BA7"/>
    <w:rsid w:val="00190299"/>
    <w:rsid w:val="001A5793"/>
    <w:rsid w:val="001A5EB1"/>
    <w:rsid w:val="001A6C00"/>
    <w:rsid w:val="001B6289"/>
    <w:rsid w:val="001B6471"/>
    <w:rsid w:val="001C551F"/>
    <w:rsid w:val="001C6D34"/>
    <w:rsid w:val="001D1DFD"/>
    <w:rsid w:val="001D61BF"/>
    <w:rsid w:val="001E4503"/>
    <w:rsid w:val="001F16BF"/>
    <w:rsid w:val="001F6DDF"/>
    <w:rsid w:val="00203006"/>
    <w:rsid w:val="00207AED"/>
    <w:rsid w:val="00215F33"/>
    <w:rsid w:val="00224C36"/>
    <w:rsid w:val="00232C0A"/>
    <w:rsid w:val="002376B2"/>
    <w:rsid w:val="0024028E"/>
    <w:rsid w:val="00242FC8"/>
    <w:rsid w:val="002444B1"/>
    <w:rsid w:val="00244C05"/>
    <w:rsid w:val="00250B1B"/>
    <w:rsid w:val="00254F2F"/>
    <w:rsid w:val="00256609"/>
    <w:rsid w:val="00261676"/>
    <w:rsid w:val="002703C1"/>
    <w:rsid w:val="002718E6"/>
    <w:rsid w:val="002864FD"/>
    <w:rsid w:val="002955FF"/>
    <w:rsid w:val="002A1B5F"/>
    <w:rsid w:val="002B0136"/>
    <w:rsid w:val="002B7B70"/>
    <w:rsid w:val="002C0102"/>
    <w:rsid w:val="002C0473"/>
    <w:rsid w:val="002C20CB"/>
    <w:rsid w:val="002C282B"/>
    <w:rsid w:val="002C538C"/>
    <w:rsid w:val="002D40DF"/>
    <w:rsid w:val="002E0E83"/>
    <w:rsid w:val="002E1EC8"/>
    <w:rsid w:val="002E4F00"/>
    <w:rsid w:val="002E557F"/>
    <w:rsid w:val="002F154A"/>
    <w:rsid w:val="002F301E"/>
    <w:rsid w:val="003061CB"/>
    <w:rsid w:val="00307E9C"/>
    <w:rsid w:val="003104E2"/>
    <w:rsid w:val="0032742D"/>
    <w:rsid w:val="003368AF"/>
    <w:rsid w:val="003452DB"/>
    <w:rsid w:val="003457E0"/>
    <w:rsid w:val="00350EE5"/>
    <w:rsid w:val="00357EB7"/>
    <w:rsid w:val="00367437"/>
    <w:rsid w:val="00371011"/>
    <w:rsid w:val="00371057"/>
    <w:rsid w:val="00372931"/>
    <w:rsid w:val="00377E4C"/>
    <w:rsid w:val="00380F2B"/>
    <w:rsid w:val="00387043"/>
    <w:rsid w:val="003904CD"/>
    <w:rsid w:val="003926AF"/>
    <w:rsid w:val="00395ACE"/>
    <w:rsid w:val="00396830"/>
    <w:rsid w:val="003A4BF6"/>
    <w:rsid w:val="003B3F6C"/>
    <w:rsid w:val="003B7034"/>
    <w:rsid w:val="003C3A3A"/>
    <w:rsid w:val="003C3C9A"/>
    <w:rsid w:val="003C78A4"/>
    <w:rsid w:val="003D33A8"/>
    <w:rsid w:val="003D6CD4"/>
    <w:rsid w:val="003E354D"/>
    <w:rsid w:val="003E4887"/>
    <w:rsid w:val="003E4DAD"/>
    <w:rsid w:val="003E7BEA"/>
    <w:rsid w:val="003F2015"/>
    <w:rsid w:val="003F753B"/>
    <w:rsid w:val="003F76D4"/>
    <w:rsid w:val="004029B4"/>
    <w:rsid w:val="00403AB5"/>
    <w:rsid w:val="00406FD8"/>
    <w:rsid w:val="00410AC3"/>
    <w:rsid w:val="004115D6"/>
    <w:rsid w:val="0041175B"/>
    <w:rsid w:val="004129E2"/>
    <w:rsid w:val="0042766D"/>
    <w:rsid w:val="00427DE4"/>
    <w:rsid w:val="00431F1A"/>
    <w:rsid w:val="0043638B"/>
    <w:rsid w:val="004405FA"/>
    <w:rsid w:val="00440C58"/>
    <w:rsid w:val="00442790"/>
    <w:rsid w:val="00450F57"/>
    <w:rsid w:val="00455CF6"/>
    <w:rsid w:val="00460203"/>
    <w:rsid w:val="0046634C"/>
    <w:rsid w:val="00470D1D"/>
    <w:rsid w:val="004722F1"/>
    <w:rsid w:val="00475145"/>
    <w:rsid w:val="00477DEF"/>
    <w:rsid w:val="00484989"/>
    <w:rsid w:val="004975DE"/>
    <w:rsid w:val="00497A01"/>
    <w:rsid w:val="004A6143"/>
    <w:rsid w:val="004B5610"/>
    <w:rsid w:val="004C1520"/>
    <w:rsid w:val="004C47EB"/>
    <w:rsid w:val="004D073B"/>
    <w:rsid w:val="004D229B"/>
    <w:rsid w:val="004D34D9"/>
    <w:rsid w:val="004E2024"/>
    <w:rsid w:val="004E2465"/>
    <w:rsid w:val="004F0E27"/>
    <w:rsid w:val="004F3827"/>
    <w:rsid w:val="004F62A4"/>
    <w:rsid w:val="00507A33"/>
    <w:rsid w:val="00510E7F"/>
    <w:rsid w:val="005123E9"/>
    <w:rsid w:val="0051407B"/>
    <w:rsid w:val="00516DB1"/>
    <w:rsid w:val="0052747D"/>
    <w:rsid w:val="00527CA3"/>
    <w:rsid w:val="00531980"/>
    <w:rsid w:val="0053566F"/>
    <w:rsid w:val="00551423"/>
    <w:rsid w:val="005628D1"/>
    <w:rsid w:val="00565CAF"/>
    <w:rsid w:val="00567627"/>
    <w:rsid w:val="00577AB2"/>
    <w:rsid w:val="00581E2C"/>
    <w:rsid w:val="00583FA5"/>
    <w:rsid w:val="00591E65"/>
    <w:rsid w:val="005A11DB"/>
    <w:rsid w:val="005A603F"/>
    <w:rsid w:val="005D448F"/>
    <w:rsid w:val="005E0401"/>
    <w:rsid w:val="005E0B5A"/>
    <w:rsid w:val="005E3389"/>
    <w:rsid w:val="005F5F41"/>
    <w:rsid w:val="005F79A6"/>
    <w:rsid w:val="006014C7"/>
    <w:rsid w:val="00605857"/>
    <w:rsid w:val="006108AC"/>
    <w:rsid w:val="00614763"/>
    <w:rsid w:val="006176AC"/>
    <w:rsid w:val="00621722"/>
    <w:rsid w:val="0062557F"/>
    <w:rsid w:val="006306FE"/>
    <w:rsid w:val="0063761A"/>
    <w:rsid w:val="00651FFC"/>
    <w:rsid w:val="00663174"/>
    <w:rsid w:val="006656DC"/>
    <w:rsid w:val="0067405B"/>
    <w:rsid w:val="006741A0"/>
    <w:rsid w:val="00677044"/>
    <w:rsid w:val="00677873"/>
    <w:rsid w:val="006810CF"/>
    <w:rsid w:val="0068283A"/>
    <w:rsid w:val="00685569"/>
    <w:rsid w:val="0068589A"/>
    <w:rsid w:val="006921B3"/>
    <w:rsid w:val="006B230B"/>
    <w:rsid w:val="006B4474"/>
    <w:rsid w:val="006B7978"/>
    <w:rsid w:val="006C5D9D"/>
    <w:rsid w:val="006C66EA"/>
    <w:rsid w:val="006C6D27"/>
    <w:rsid w:val="006D072C"/>
    <w:rsid w:val="006D5227"/>
    <w:rsid w:val="006E2697"/>
    <w:rsid w:val="006F2961"/>
    <w:rsid w:val="006F5C81"/>
    <w:rsid w:val="006F6E85"/>
    <w:rsid w:val="007024CC"/>
    <w:rsid w:val="00703715"/>
    <w:rsid w:val="007117C0"/>
    <w:rsid w:val="00711CE8"/>
    <w:rsid w:val="00723A77"/>
    <w:rsid w:val="007247A9"/>
    <w:rsid w:val="0074084C"/>
    <w:rsid w:val="00744BF3"/>
    <w:rsid w:val="00775A76"/>
    <w:rsid w:val="00775D90"/>
    <w:rsid w:val="00780E3B"/>
    <w:rsid w:val="00787954"/>
    <w:rsid w:val="00790462"/>
    <w:rsid w:val="007940B2"/>
    <w:rsid w:val="00797F07"/>
    <w:rsid w:val="007A031F"/>
    <w:rsid w:val="007A34BE"/>
    <w:rsid w:val="007B0877"/>
    <w:rsid w:val="007B261E"/>
    <w:rsid w:val="007B65F7"/>
    <w:rsid w:val="007E1684"/>
    <w:rsid w:val="007E1A5B"/>
    <w:rsid w:val="007E51A7"/>
    <w:rsid w:val="007E56DD"/>
    <w:rsid w:val="007E7638"/>
    <w:rsid w:val="007F0454"/>
    <w:rsid w:val="007F0A41"/>
    <w:rsid w:val="007F3A88"/>
    <w:rsid w:val="007F4786"/>
    <w:rsid w:val="00803174"/>
    <w:rsid w:val="008100B0"/>
    <w:rsid w:val="00821820"/>
    <w:rsid w:val="00821B32"/>
    <w:rsid w:val="00830214"/>
    <w:rsid w:val="00847069"/>
    <w:rsid w:val="008515E5"/>
    <w:rsid w:val="00862293"/>
    <w:rsid w:val="00862AAA"/>
    <w:rsid w:val="00871C69"/>
    <w:rsid w:val="00872962"/>
    <w:rsid w:val="00873D6A"/>
    <w:rsid w:val="008751BC"/>
    <w:rsid w:val="00880610"/>
    <w:rsid w:val="00885F12"/>
    <w:rsid w:val="00886E58"/>
    <w:rsid w:val="00887326"/>
    <w:rsid w:val="00893E20"/>
    <w:rsid w:val="00894059"/>
    <w:rsid w:val="00896A89"/>
    <w:rsid w:val="00897EB6"/>
    <w:rsid w:val="008A7B6A"/>
    <w:rsid w:val="008B11E4"/>
    <w:rsid w:val="008B5404"/>
    <w:rsid w:val="008C6765"/>
    <w:rsid w:val="008C7B3C"/>
    <w:rsid w:val="008D20FD"/>
    <w:rsid w:val="008D2ED5"/>
    <w:rsid w:val="008E308E"/>
    <w:rsid w:val="008E76F8"/>
    <w:rsid w:val="0090638F"/>
    <w:rsid w:val="00916E8E"/>
    <w:rsid w:val="00923448"/>
    <w:rsid w:val="009245BD"/>
    <w:rsid w:val="009272CF"/>
    <w:rsid w:val="0093143F"/>
    <w:rsid w:val="00934334"/>
    <w:rsid w:val="009402FC"/>
    <w:rsid w:val="00941C8A"/>
    <w:rsid w:val="0094312C"/>
    <w:rsid w:val="009461F3"/>
    <w:rsid w:val="00956590"/>
    <w:rsid w:val="00963962"/>
    <w:rsid w:val="00965BA4"/>
    <w:rsid w:val="00971C10"/>
    <w:rsid w:val="00973292"/>
    <w:rsid w:val="009746EF"/>
    <w:rsid w:val="009751BB"/>
    <w:rsid w:val="009A0346"/>
    <w:rsid w:val="009A1755"/>
    <w:rsid w:val="009A2985"/>
    <w:rsid w:val="009A7881"/>
    <w:rsid w:val="009B1A63"/>
    <w:rsid w:val="009C23A5"/>
    <w:rsid w:val="009C23BF"/>
    <w:rsid w:val="009C5EA7"/>
    <w:rsid w:val="009D3DEF"/>
    <w:rsid w:val="009E02E3"/>
    <w:rsid w:val="009E15B5"/>
    <w:rsid w:val="009E33FF"/>
    <w:rsid w:val="009E7093"/>
    <w:rsid w:val="009F3B2D"/>
    <w:rsid w:val="009F7971"/>
    <w:rsid w:val="00A2261F"/>
    <w:rsid w:val="00A22892"/>
    <w:rsid w:val="00A232F2"/>
    <w:rsid w:val="00A26389"/>
    <w:rsid w:val="00A27B7A"/>
    <w:rsid w:val="00A32239"/>
    <w:rsid w:val="00A32B89"/>
    <w:rsid w:val="00A341BA"/>
    <w:rsid w:val="00A347C8"/>
    <w:rsid w:val="00A47439"/>
    <w:rsid w:val="00A52A93"/>
    <w:rsid w:val="00A6272D"/>
    <w:rsid w:val="00A64944"/>
    <w:rsid w:val="00A655C2"/>
    <w:rsid w:val="00A735C8"/>
    <w:rsid w:val="00A8023E"/>
    <w:rsid w:val="00A84C59"/>
    <w:rsid w:val="00A94F1F"/>
    <w:rsid w:val="00AA107D"/>
    <w:rsid w:val="00AA3677"/>
    <w:rsid w:val="00AA414B"/>
    <w:rsid w:val="00AB2F08"/>
    <w:rsid w:val="00AB787C"/>
    <w:rsid w:val="00AC19EB"/>
    <w:rsid w:val="00AC207B"/>
    <w:rsid w:val="00AC76DF"/>
    <w:rsid w:val="00AD1F92"/>
    <w:rsid w:val="00AD5B1E"/>
    <w:rsid w:val="00AE4EB6"/>
    <w:rsid w:val="00AF32E0"/>
    <w:rsid w:val="00AF5B1C"/>
    <w:rsid w:val="00B006B8"/>
    <w:rsid w:val="00B01808"/>
    <w:rsid w:val="00B04FBA"/>
    <w:rsid w:val="00B164E6"/>
    <w:rsid w:val="00B210A1"/>
    <w:rsid w:val="00B35235"/>
    <w:rsid w:val="00B41B2F"/>
    <w:rsid w:val="00B556F5"/>
    <w:rsid w:val="00B5747C"/>
    <w:rsid w:val="00B70572"/>
    <w:rsid w:val="00B71057"/>
    <w:rsid w:val="00B75FCF"/>
    <w:rsid w:val="00B76702"/>
    <w:rsid w:val="00BA2DF5"/>
    <w:rsid w:val="00BB6184"/>
    <w:rsid w:val="00BC30CB"/>
    <w:rsid w:val="00BD4717"/>
    <w:rsid w:val="00BD4FE0"/>
    <w:rsid w:val="00BD594D"/>
    <w:rsid w:val="00BD5FF3"/>
    <w:rsid w:val="00BE09C8"/>
    <w:rsid w:val="00BE508E"/>
    <w:rsid w:val="00BE6DBB"/>
    <w:rsid w:val="00C0515A"/>
    <w:rsid w:val="00C14ED3"/>
    <w:rsid w:val="00C2458A"/>
    <w:rsid w:val="00C24EA4"/>
    <w:rsid w:val="00C47B88"/>
    <w:rsid w:val="00C47C64"/>
    <w:rsid w:val="00C525DB"/>
    <w:rsid w:val="00C55EBE"/>
    <w:rsid w:val="00C628B2"/>
    <w:rsid w:val="00C63570"/>
    <w:rsid w:val="00C6612B"/>
    <w:rsid w:val="00C73188"/>
    <w:rsid w:val="00C74F9F"/>
    <w:rsid w:val="00C76022"/>
    <w:rsid w:val="00C82AF4"/>
    <w:rsid w:val="00C974FF"/>
    <w:rsid w:val="00CA01D7"/>
    <w:rsid w:val="00CA50A5"/>
    <w:rsid w:val="00CC0344"/>
    <w:rsid w:val="00CC0A0D"/>
    <w:rsid w:val="00CC13F1"/>
    <w:rsid w:val="00CC1444"/>
    <w:rsid w:val="00CC2C7B"/>
    <w:rsid w:val="00CD04FA"/>
    <w:rsid w:val="00CE0466"/>
    <w:rsid w:val="00CE3908"/>
    <w:rsid w:val="00CE7B7B"/>
    <w:rsid w:val="00D07C76"/>
    <w:rsid w:val="00D10F4D"/>
    <w:rsid w:val="00D24195"/>
    <w:rsid w:val="00D3109A"/>
    <w:rsid w:val="00D474A4"/>
    <w:rsid w:val="00D63192"/>
    <w:rsid w:val="00D67C7D"/>
    <w:rsid w:val="00D72399"/>
    <w:rsid w:val="00D723DC"/>
    <w:rsid w:val="00D75BFA"/>
    <w:rsid w:val="00D76D80"/>
    <w:rsid w:val="00D81886"/>
    <w:rsid w:val="00D83C24"/>
    <w:rsid w:val="00D8716D"/>
    <w:rsid w:val="00D930F2"/>
    <w:rsid w:val="00D9444B"/>
    <w:rsid w:val="00D96DA2"/>
    <w:rsid w:val="00DC2D03"/>
    <w:rsid w:val="00DD47D1"/>
    <w:rsid w:val="00DF4F8A"/>
    <w:rsid w:val="00E008EA"/>
    <w:rsid w:val="00E031BC"/>
    <w:rsid w:val="00E071D3"/>
    <w:rsid w:val="00E1259F"/>
    <w:rsid w:val="00E15E2F"/>
    <w:rsid w:val="00E21B8B"/>
    <w:rsid w:val="00E233BB"/>
    <w:rsid w:val="00E31EC9"/>
    <w:rsid w:val="00E373F9"/>
    <w:rsid w:val="00E414E0"/>
    <w:rsid w:val="00E41F62"/>
    <w:rsid w:val="00E45660"/>
    <w:rsid w:val="00E55138"/>
    <w:rsid w:val="00E56AAB"/>
    <w:rsid w:val="00E61447"/>
    <w:rsid w:val="00E61D11"/>
    <w:rsid w:val="00E62590"/>
    <w:rsid w:val="00E66BE5"/>
    <w:rsid w:val="00E7769C"/>
    <w:rsid w:val="00E85147"/>
    <w:rsid w:val="00E90F58"/>
    <w:rsid w:val="00E916D5"/>
    <w:rsid w:val="00E97BC7"/>
    <w:rsid w:val="00EB4F8A"/>
    <w:rsid w:val="00EC24A1"/>
    <w:rsid w:val="00ED2DE7"/>
    <w:rsid w:val="00EE6AE9"/>
    <w:rsid w:val="00EE7315"/>
    <w:rsid w:val="00EF2438"/>
    <w:rsid w:val="00F05E33"/>
    <w:rsid w:val="00F07001"/>
    <w:rsid w:val="00F14B91"/>
    <w:rsid w:val="00F15058"/>
    <w:rsid w:val="00F15A4E"/>
    <w:rsid w:val="00F17E15"/>
    <w:rsid w:val="00F20162"/>
    <w:rsid w:val="00F25044"/>
    <w:rsid w:val="00F27C7C"/>
    <w:rsid w:val="00F3162A"/>
    <w:rsid w:val="00F33914"/>
    <w:rsid w:val="00F3544A"/>
    <w:rsid w:val="00F354A0"/>
    <w:rsid w:val="00F41FA1"/>
    <w:rsid w:val="00F43EF6"/>
    <w:rsid w:val="00F46565"/>
    <w:rsid w:val="00F4744E"/>
    <w:rsid w:val="00F476B4"/>
    <w:rsid w:val="00F52F49"/>
    <w:rsid w:val="00F61F8D"/>
    <w:rsid w:val="00F748EB"/>
    <w:rsid w:val="00F761BE"/>
    <w:rsid w:val="00FB4A63"/>
    <w:rsid w:val="00FC3665"/>
    <w:rsid w:val="00FC510A"/>
    <w:rsid w:val="00FC5463"/>
    <w:rsid w:val="00FE5598"/>
    <w:rsid w:val="00FE5F7B"/>
    <w:rsid w:val="00FF1B7B"/>
    <w:rsid w:val="00FF2328"/>
    <w:rsid w:val="00FF399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7985B-0518-4E9A-A6E2-304417A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E8E"/>
    <w:rPr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663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34C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numbering" w:customStyle="1" w:styleId="1">
    <w:name w:val="Нет списка1"/>
    <w:next w:val="a2"/>
    <w:uiPriority w:val="99"/>
    <w:semiHidden/>
    <w:unhideWhenUsed/>
    <w:rsid w:val="0046634C"/>
  </w:style>
  <w:style w:type="paragraph" w:styleId="a3">
    <w:name w:val="Body Text"/>
    <w:aliases w:val="Основной текст Знак Знак Знак"/>
    <w:basedOn w:val="a"/>
    <w:link w:val="a4"/>
    <w:rsid w:val="00466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46634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5">
    <w:name w:val="List Paragraph"/>
    <w:basedOn w:val="a"/>
    <w:link w:val="a6"/>
    <w:uiPriority w:val="34"/>
    <w:qFormat/>
    <w:rsid w:val="0046634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663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46634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6634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6634C"/>
    <w:rPr>
      <w:rFonts w:ascii="Tahoma" w:eastAsia="Times New Roman" w:hAnsi="Tahoma" w:cs="Times New Roman"/>
      <w:sz w:val="16"/>
      <w:szCs w:val="16"/>
      <w:lang w:val="uk-UA"/>
    </w:rPr>
  </w:style>
  <w:style w:type="paragraph" w:styleId="31">
    <w:name w:val="Body Text 3"/>
    <w:basedOn w:val="a"/>
    <w:link w:val="32"/>
    <w:uiPriority w:val="99"/>
    <w:unhideWhenUsed/>
    <w:rsid w:val="004663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2">
    <w:name w:val="Основний текст 3 Знак"/>
    <w:basedOn w:val="a0"/>
    <w:link w:val="31"/>
    <w:uiPriority w:val="99"/>
    <w:rsid w:val="0046634C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customStyle="1" w:styleId="10">
    <w:name w:val="Обычный1"/>
    <w:rsid w:val="00466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2">
    <w:name w:val="Font Style12"/>
    <w:uiPriority w:val="99"/>
    <w:rsid w:val="0046634C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4663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634C"/>
  </w:style>
  <w:style w:type="paragraph" w:styleId="ac">
    <w:name w:val="Normal (Web)"/>
    <w:basedOn w:val="a"/>
    <w:uiPriority w:val="99"/>
    <w:rsid w:val="004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46634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ae">
    <w:name w:val="обычный"/>
    <w:basedOn w:val="a"/>
    <w:rsid w:val="004663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f">
    <w:name w:val="Hyperlink"/>
    <w:uiPriority w:val="99"/>
    <w:rsid w:val="00C525DB"/>
    <w:rPr>
      <w:color w:val="0000FF"/>
      <w:u w:val="single"/>
    </w:rPr>
  </w:style>
  <w:style w:type="character" w:customStyle="1" w:styleId="a6">
    <w:name w:val="Абзац списку Знак"/>
    <w:link w:val="a5"/>
    <w:uiPriority w:val="34"/>
    <w:rsid w:val="00C525DB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0">
    <w:name w:val="Emphasis"/>
    <w:basedOn w:val="a0"/>
    <w:uiPriority w:val="20"/>
    <w:qFormat/>
    <w:rsid w:val="00C525DB"/>
    <w:rPr>
      <w:i/>
      <w:iCs/>
    </w:rPr>
  </w:style>
  <w:style w:type="paragraph" w:styleId="af1">
    <w:name w:val="header"/>
    <w:basedOn w:val="a"/>
    <w:link w:val="af2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7F0454"/>
    <w:rPr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7F04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6177A-0F38-40E8-B576-9A64DF91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22863</Words>
  <Characters>13033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15--Koftyn</cp:lastModifiedBy>
  <cp:revision>4</cp:revision>
  <cp:lastPrinted>2026-03-18T10:57:00Z</cp:lastPrinted>
  <dcterms:created xsi:type="dcterms:W3CDTF">2026-03-12T13:47:00Z</dcterms:created>
  <dcterms:modified xsi:type="dcterms:W3CDTF">2026-03-18T10:57:00Z</dcterms:modified>
</cp:coreProperties>
</file>