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8AED" w14:textId="77777777" w:rsidR="00E33025" w:rsidRPr="00E33025" w:rsidRDefault="00C82678" w:rsidP="00E33025">
      <w:pPr>
        <w:tabs>
          <w:tab w:val="left" w:pos="180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uk-UA" w:eastAsia="zh-CN"/>
        </w:rPr>
      </w:pPr>
      <w:bookmarkStart w:id="0" w:name="_GoBack"/>
      <w:bookmarkEnd w:id="0"/>
      <w:r w:rsidRPr="00551820">
        <w:rPr>
          <w:rFonts w:ascii="Times New Roman" w:hAnsi="Times New Roman" w:cs="Times New Roman"/>
          <w:b/>
          <w:noProof/>
          <w:position w:val="0"/>
          <w:sz w:val="24"/>
          <w:szCs w:val="24"/>
          <w:lang w:val="uk-UA" w:eastAsia="uk-UA"/>
        </w:rPr>
        <w:drawing>
          <wp:inline distT="0" distB="0" distL="0" distR="0" wp14:anchorId="0396662D" wp14:editId="3BDA8093">
            <wp:extent cx="5810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603E" w14:textId="77777777" w:rsidR="00E33025" w:rsidRPr="00E33025" w:rsidRDefault="00E33025" w:rsidP="00E33025">
      <w:pPr>
        <w:tabs>
          <w:tab w:val="left" w:pos="4395"/>
        </w:tabs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E33025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РОМЕНСЬКА МІСЬКА РАДА СУМСЬКОЇ ОБЛАСТІ</w:t>
      </w:r>
    </w:p>
    <w:p w14:paraId="56C30290" w14:textId="77777777" w:rsidR="00E33025" w:rsidRPr="00A800DA" w:rsidRDefault="00E33025" w:rsidP="00E33025">
      <w:pPr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</w:pPr>
      <w:r w:rsidRPr="00A800DA">
        <w:rPr>
          <w:rFonts w:ascii="Times New Roman" w:eastAsia="Times New Roman" w:hAnsi="Times New Roman" w:cs="Times New Roman"/>
          <w:b/>
          <w:position w:val="0"/>
          <w:sz w:val="24"/>
          <w:szCs w:val="24"/>
          <w:lang w:eastAsia="zh-CN"/>
        </w:rPr>
        <w:t>ВОСЬМЕ СКЛИКАННЯ</w:t>
      </w:r>
    </w:p>
    <w:p w14:paraId="12463890" w14:textId="3DC9C590" w:rsidR="00A800DA" w:rsidRPr="00A800DA" w:rsidRDefault="004D3D14" w:rsidP="00761B88">
      <w:pPr>
        <w:keepNext/>
        <w:tabs>
          <w:tab w:val="center" w:pos="4677"/>
          <w:tab w:val="left" w:pos="6960"/>
        </w:tabs>
        <w:suppressAutoHyphens w:val="0"/>
        <w:spacing w:before="120" w:after="120"/>
        <w:ind w:leftChars="0" w:left="0" w:firstLineChars="0" w:firstLine="0"/>
        <w:jc w:val="center"/>
        <w:textDirection w:val="lrTb"/>
        <w:textAlignment w:val="auto"/>
        <w:outlineLvl w:val="2"/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СТО </w:t>
      </w:r>
      <w:r w:rsidR="00AD366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>СЬОМА</w:t>
      </w:r>
      <w:r w:rsidR="00A800DA" w:rsidRPr="0012234A">
        <w:rPr>
          <w:rFonts w:ascii="Times New Roman" w:eastAsia="Times New Roman" w:hAnsi="Times New Roman" w:cs="Times New Roman"/>
          <w:b/>
          <w:bCs/>
          <w:noProof/>
          <w:position w:val="0"/>
          <w:sz w:val="24"/>
          <w:szCs w:val="24"/>
          <w:lang w:val="uk-UA"/>
        </w:rPr>
        <w:t xml:space="preserve"> СЕСІЯ</w:t>
      </w:r>
    </w:p>
    <w:p w14:paraId="2AF4B585" w14:textId="77777777" w:rsidR="00E33025" w:rsidRPr="00E33025" w:rsidRDefault="00E33025" w:rsidP="00E33025">
      <w:pPr>
        <w:keepNext/>
        <w:spacing w:after="0" w:line="240" w:lineRule="auto"/>
        <w:ind w:leftChars="0" w:left="0" w:firstLineChars="0" w:firstLine="0"/>
        <w:jc w:val="center"/>
        <w:textDirection w:val="lrTb"/>
        <w:textAlignment w:val="auto"/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E33025">
        <w:rPr>
          <w:rFonts w:ascii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РІШЕННЯ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0553FD4C" w:rsidR="00E33025" w:rsidRPr="00E33025" w:rsidRDefault="00AD366A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25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03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267AE958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613575D2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54568A77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</w:t>
      </w:r>
      <w:r w:rsidRPr="00FF1D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лист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Ромникомунтепло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AD36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09.03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«Ромнико</w:t>
      </w:r>
      <w:r w:rsidR="009367A0"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мунтепло» РМР від 24.11.2025 № 3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2C27D95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«Ромникомунтепло»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="002C3A7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затвердженої рішенням міської ради від 26.11.2025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77777777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Ромникомунтепло»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lastRenderedPageBreak/>
              <w:t xml:space="preserve">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3FEA5BA2" w:rsidR="00A90305" w:rsidRPr="000446D9" w:rsidRDefault="00B642A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7 160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,000 </w:t>
            </w:r>
            <w:proofErr w:type="spellStart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38EF7D90" w:rsidR="00A90305" w:rsidRDefault="00B642A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7 160</w:t>
            </w:r>
            <w:r w:rsidR="00A90305" w:rsidRPr="00967FE9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,000 </w:t>
            </w:r>
            <w:r w:rsidR="00A90305" w:rsidRPr="00967FE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FE57946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2) викласти додаток «Перелік заходів та обсяги фінансування Програми фінансової підтримки Комунального підприємства «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Ромникомунтепло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454CDD88" w14:textId="77777777" w:rsidR="00A90305" w:rsidRPr="00EA4082" w:rsidRDefault="00A90305" w:rsidP="00A90305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</w:r>
      <w:r>
        <w:rPr>
          <w:rFonts w:ascii="Times New Roman" w:hAnsi="Times New Roman"/>
          <w:b/>
          <w:sz w:val="24"/>
          <w:szCs w:val="24"/>
          <w:lang w:val="uk-UA" w:eastAsia="zh-CN"/>
        </w:rPr>
        <w:tab/>
        <w:t>Олег СТОГНІЙ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7109CCE1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AD366A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25.03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Комунального підприємства «Ромникомунтепло»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6E7C54" w:rsidRPr="000446D9" w14:paraId="79994746" w14:textId="77777777" w:rsidTr="00A90305">
        <w:trPr>
          <w:trHeight w:val="726"/>
        </w:trPr>
        <w:tc>
          <w:tcPr>
            <w:tcW w:w="675" w:type="dxa"/>
            <w:vMerge w:val="restart"/>
            <w:vAlign w:val="center"/>
          </w:tcPr>
          <w:p w14:paraId="710C1780" w14:textId="77777777" w:rsidR="006E7C54" w:rsidRPr="00846E47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14:paraId="77EE844E" w14:textId="77777777" w:rsidR="006E7C54" w:rsidRPr="000446D9" w:rsidRDefault="006E7C5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Ромникомунтепло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6E7C54" w:rsidRPr="008B61DD" w:rsidRDefault="006E7C54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2891F7F7" w:rsidR="006E7C54" w:rsidRPr="00967FE9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967FE9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4 148,000</w:t>
            </w:r>
          </w:p>
        </w:tc>
      </w:tr>
      <w:tr w:rsidR="006E7C54" w:rsidRPr="000446D9" w14:paraId="2677EEE4" w14:textId="77777777" w:rsidTr="00A90305">
        <w:trPr>
          <w:trHeight w:val="600"/>
        </w:trPr>
        <w:tc>
          <w:tcPr>
            <w:tcW w:w="675" w:type="dxa"/>
            <w:vMerge/>
            <w:vAlign w:val="center"/>
          </w:tcPr>
          <w:p w14:paraId="14B48691" w14:textId="77777777" w:rsidR="006E7C54" w:rsidRPr="00846E47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6C9B334D" w14:textId="77777777" w:rsidR="006E7C54" w:rsidRPr="000446D9" w:rsidRDefault="006E7C5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90C0DE1" w14:textId="2A0F1B4D" w:rsidR="006E7C54" w:rsidRDefault="006E7C54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7E7D42C8" w14:textId="08C0920D" w:rsidR="006E7C54" w:rsidRPr="00967FE9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 w:rsidRPr="00967FE9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2 092,500</w:t>
            </w:r>
          </w:p>
        </w:tc>
      </w:tr>
      <w:tr w:rsidR="006E7C54" w:rsidRPr="000446D9" w14:paraId="5EE21587" w14:textId="77777777" w:rsidTr="006E7C54">
        <w:trPr>
          <w:trHeight w:val="529"/>
        </w:trPr>
        <w:tc>
          <w:tcPr>
            <w:tcW w:w="675" w:type="dxa"/>
            <w:vMerge/>
            <w:vAlign w:val="center"/>
          </w:tcPr>
          <w:p w14:paraId="18B5FF18" w14:textId="77777777" w:rsidR="006E7C54" w:rsidRPr="00846E47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1907E887" w14:textId="77777777" w:rsidR="006E7C54" w:rsidRPr="000446D9" w:rsidRDefault="006E7C5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5F704E58" w14:textId="4EC6AE07" w:rsidR="006E7C54" w:rsidRDefault="006E7C54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нарахування на оплату праці</w:t>
            </w:r>
          </w:p>
        </w:tc>
        <w:tc>
          <w:tcPr>
            <w:tcW w:w="1843" w:type="dxa"/>
            <w:vAlign w:val="center"/>
          </w:tcPr>
          <w:p w14:paraId="727A74DC" w14:textId="2310879B" w:rsidR="006E7C54" w:rsidRPr="00967FE9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459</w:t>
            </w:r>
            <w:r w:rsidRPr="00967FE9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,500</w:t>
            </w:r>
          </w:p>
        </w:tc>
      </w:tr>
      <w:tr w:rsidR="006E7C54" w:rsidRPr="000446D9" w14:paraId="09E85479" w14:textId="77777777" w:rsidTr="006E7C54">
        <w:trPr>
          <w:trHeight w:val="551"/>
        </w:trPr>
        <w:tc>
          <w:tcPr>
            <w:tcW w:w="675" w:type="dxa"/>
            <w:vMerge/>
            <w:vAlign w:val="center"/>
          </w:tcPr>
          <w:p w14:paraId="3D80B12E" w14:textId="77777777" w:rsidR="006E7C54" w:rsidRPr="00846E47" w:rsidRDefault="006E7C54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61" w:type="dxa"/>
            <w:vMerge/>
            <w:vAlign w:val="center"/>
          </w:tcPr>
          <w:p w14:paraId="0D1A1418" w14:textId="77777777" w:rsidR="006E7C54" w:rsidRPr="000446D9" w:rsidRDefault="006E7C54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C81A327" w14:textId="74568FF3" w:rsidR="006E7C54" w:rsidRDefault="005B514D" w:rsidP="00A90305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ридбання кореляційного </w:t>
            </w:r>
            <w:proofErr w:type="spellStart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течешука</w:t>
            </w:r>
            <w:r w:rsidR="0079357B"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ча</w:t>
            </w:r>
            <w:proofErr w:type="spellEnd"/>
            <w:r w:rsidRPr="00CF743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5B514D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К-10,5 М2</w:t>
            </w:r>
          </w:p>
        </w:tc>
        <w:tc>
          <w:tcPr>
            <w:tcW w:w="1843" w:type="dxa"/>
            <w:vAlign w:val="center"/>
          </w:tcPr>
          <w:p w14:paraId="545CDF1E" w14:textId="7D239247" w:rsidR="006E7C54" w:rsidRDefault="005B514D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460,000</w:t>
            </w:r>
          </w:p>
        </w:tc>
      </w:tr>
      <w:tr w:rsidR="00A90305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A90305" w:rsidRPr="000446D9" w:rsidRDefault="00A90305" w:rsidP="00DF63D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A90305" w:rsidRPr="00984700" w:rsidRDefault="00A90305" w:rsidP="00DF63D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A90305" w:rsidRPr="00984700" w:rsidRDefault="00A90305" w:rsidP="00DF63D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1CE12756" w:rsidR="00A90305" w:rsidRPr="00967FE9" w:rsidRDefault="005B514D" w:rsidP="00DF63D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7 160</w:t>
            </w:r>
            <w:r w:rsidR="00A90305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A90305" w:rsidRPr="00967F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A90305" w:rsidRPr="00967FE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7402401" w14:textId="585C57B0" w:rsidR="00A90305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99CD0E1" w14:textId="77777777" w:rsidR="008A01EF" w:rsidRPr="000446D9" w:rsidRDefault="008A01EF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2BD0AC32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«Ромникомунтепло»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467EF037" w:rsidR="00936375" w:rsidRPr="0079357B" w:rsidRDefault="00936375" w:rsidP="0079357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79357B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53766A93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бхідних для її реалізації на 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1 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460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,00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(з  </w:t>
      </w:r>
      <w:r w:rsidR="00AD36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5 70</w:t>
      </w:r>
      <w:r w:rsidR="00AD366A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 до 7 160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14:paraId="0A71DAFF" w14:textId="3E2B4E31" w:rsidR="00936375" w:rsidRDefault="00DC0113" w:rsidP="0093637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2.</w:t>
      </w:r>
      <w:r w:rsidR="00A90305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936375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збільшено на            648</w:t>
      </w:r>
      <w:r w:rsidR="008B48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9363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000</w:t>
      </w:r>
      <w:r w:rsidR="00936375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AD36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 500,000 </w:t>
      </w:r>
      <w:r w:rsidR="008B48C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</w:t>
      </w:r>
      <w:r w:rsidR="000D255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грн до 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4 148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14:paraId="05370374" w14:textId="1A0D6078" w:rsidR="000343D0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3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Захід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Заробітна плата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збільшено на 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289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2C3A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</w:t>
      </w:r>
      <w:r w:rsidR="00AD36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1 803,500 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тис. грн до </w:t>
      </w:r>
      <w:r w:rsidR="00E2668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                    </w:t>
      </w:r>
      <w:r w:rsidR="002C3A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2 092,500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14:paraId="5E0BA168" w14:textId="3869B2EE" w:rsidR="000343D0" w:rsidRDefault="000343D0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4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</w:t>
      </w:r>
      <w:r w:rsidRPr="008C470D">
        <w:rPr>
          <w:rFonts w:ascii="Times New Roman" w:hAnsi="Times New Roman" w:cs="Times New Roman"/>
          <w:sz w:val="24"/>
          <w:szCs w:val="24"/>
          <w:lang w:val="uk-UA" w:eastAsia="en-US"/>
        </w:rPr>
        <w:t>Нарахування на оплату праці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</w:t>
      </w:r>
      <w:r w:rsidR="00967FE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збільшено на 63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AD36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396,500 </w:t>
      </w:r>
      <w:r w:rsidR="002C3A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тис. грн до 459</w:t>
      </w:r>
      <w:r w:rsidR="00F239D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,5</w:t>
      </w:r>
      <w:r w:rsidR="002C3A7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17686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грн);</w:t>
      </w:r>
    </w:p>
    <w:p w14:paraId="2656DE90" w14:textId="42C0E7C9" w:rsidR="00312CB9" w:rsidRPr="00312CB9" w:rsidRDefault="00312CB9" w:rsidP="0079357B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5.</w:t>
      </w:r>
      <w:r w:rsid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Додається захід «придбання </w:t>
      </w:r>
      <w:r w:rsidRPr="00CF74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кореляційного </w:t>
      </w:r>
      <w:proofErr w:type="spellStart"/>
      <w:r w:rsidRPr="00CF74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течешука</w:t>
      </w:r>
      <w:r w:rsidR="0079357B" w:rsidRPr="00CF74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ча</w:t>
      </w:r>
      <w:proofErr w:type="spellEnd"/>
      <w:r w:rsidRPr="00CF74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К-10,5 М2»</w:t>
      </w:r>
      <w:r w:rsid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фінансуванням </w:t>
      </w:r>
      <w:r w:rsidR="00CF743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у сумі 460,</w:t>
      </w:r>
      <w:r w:rsidRPr="0079357B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000 тис. грн.</w:t>
      </w:r>
    </w:p>
    <w:p w14:paraId="3122B012" w14:textId="24DD4CCB" w:rsidR="0017686A" w:rsidRDefault="0017686A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14:paraId="1C66F9C2" w14:textId="2A8C28F2" w:rsidR="00A90305" w:rsidRPr="000446D9" w:rsidRDefault="00A90305" w:rsidP="000343D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72E00869" w14:textId="32AE92F0" w:rsidR="00CD629A" w:rsidRPr="009A1AFF" w:rsidRDefault="00312CB9" w:rsidP="00312CB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CD629A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14:paraId="17AF882D" w14:textId="77777777" w:rsidR="00CD629A" w:rsidRPr="009A1AFF" w:rsidRDefault="00CD629A" w:rsidP="00CD629A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27E1D5F8" w14:textId="0B12D235" w:rsidR="00A90305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79357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12C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  <w:r w:rsidR="00A90305"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61FE01D3" w14:textId="77777777" w:rsidR="00CD629A" w:rsidRPr="000446D9" w:rsidRDefault="00CD629A" w:rsidP="00CD629A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3D0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55A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7686A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271E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3A75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2CB9"/>
    <w:rsid w:val="00313C0A"/>
    <w:rsid w:val="00315726"/>
    <w:rsid w:val="003174D6"/>
    <w:rsid w:val="00320F7B"/>
    <w:rsid w:val="003231BA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514D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E7C54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343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57B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01EF"/>
    <w:rsid w:val="008A38CC"/>
    <w:rsid w:val="008A57A9"/>
    <w:rsid w:val="008A5FAB"/>
    <w:rsid w:val="008A613D"/>
    <w:rsid w:val="008B274A"/>
    <w:rsid w:val="008B48CB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67FE9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366A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2AE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29A"/>
    <w:rsid w:val="00CD6CDB"/>
    <w:rsid w:val="00CD79EA"/>
    <w:rsid w:val="00CE0E18"/>
    <w:rsid w:val="00CE1BFB"/>
    <w:rsid w:val="00CE5456"/>
    <w:rsid w:val="00CF1B1B"/>
    <w:rsid w:val="00CF3DD6"/>
    <w:rsid w:val="00CF45D5"/>
    <w:rsid w:val="00CF743E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0113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26689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2CB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39DD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E2F9-3300-439F-8ADC-B5ABD493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2922</Words>
  <Characters>1666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2026-01-22T13:14:00Z</cp:lastPrinted>
  <dcterms:created xsi:type="dcterms:W3CDTF">2026-03-19T13:39:00Z</dcterms:created>
  <dcterms:modified xsi:type="dcterms:W3CDTF">2026-03-19T13:39:00Z</dcterms:modified>
</cp:coreProperties>
</file>