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A7A" w:rsidRPr="00C97233" w:rsidRDefault="000F4A7A" w:rsidP="000F4A7A">
      <w:pPr>
        <w:tabs>
          <w:tab w:val="left" w:pos="180"/>
          <w:tab w:val="left" w:pos="7088"/>
        </w:tabs>
        <w:jc w:val="center"/>
        <w:rPr>
          <w:b/>
          <w:bCs/>
        </w:rPr>
      </w:pPr>
      <w:r w:rsidRPr="00C97233">
        <w:rPr>
          <w:b/>
          <w:bCs/>
        </w:rPr>
        <w:object w:dxaOrig="87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5.5pt" o:ole="" fillcolor="window">
            <v:imagedata r:id="rId4" o:title=""/>
          </v:shape>
          <o:OLEObject Type="Embed" ProgID="Word.Picture.8" ShapeID="_x0000_i1025" DrawAspect="Content" ObjectID="_1824294518" r:id="rId5"/>
        </w:object>
      </w:r>
    </w:p>
    <w:p w:rsidR="000F4A7A" w:rsidRPr="00C97233" w:rsidRDefault="000F4A7A" w:rsidP="000F4A7A">
      <w:pPr>
        <w:spacing w:after="120"/>
        <w:jc w:val="center"/>
        <w:rPr>
          <w:b/>
        </w:rPr>
      </w:pPr>
      <w:r w:rsidRPr="00C97233">
        <w:rPr>
          <w:b/>
        </w:rPr>
        <w:t>РОМЕНСЬКА МІСЬКА РАДА СУМСЬКОЇ ОБЛАСТІ</w:t>
      </w:r>
    </w:p>
    <w:p w:rsidR="000F4A7A" w:rsidRPr="00C97233" w:rsidRDefault="000F4A7A" w:rsidP="000F4A7A">
      <w:pPr>
        <w:spacing w:after="120"/>
        <w:jc w:val="center"/>
        <w:rPr>
          <w:b/>
        </w:rPr>
      </w:pPr>
      <w:r w:rsidRPr="00C97233">
        <w:rPr>
          <w:b/>
        </w:rPr>
        <w:t>ВОСЬМЕ СКЛИКАННЯ</w:t>
      </w:r>
    </w:p>
    <w:p w:rsidR="000F4A7A" w:rsidRPr="00BD4966" w:rsidRDefault="00871B53" w:rsidP="000F4A7A">
      <w:pPr>
        <w:keepNext/>
        <w:keepLines/>
        <w:spacing w:after="120"/>
        <w:jc w:val="center"/>
        <w:outlineLvl w:val="2"/>
        <w:rPr>
          <w:b/>
          <w:bCs/>
        </w:rPr>
      </w:pPr>
      <w:r>
        <w:rPr>
          <w:b/>
          <w:bCs/>
        </w:rPr>
        <w:t>СТО ПЕРША</w:t>
      </w:r>
      <w:r w:rsidR="000F4A7A" w:rsidRPr="00BD4966">
        <w:rPr>
          <w:b/>
          <w:bCs/>
        </w:rPr>
        <w:t xml:space="preserve"> СЕСІЯ</w:t>
      </w:r>
    </w:p>
    <w:p w:rsidR="000F4A7A" w:rsidRDefault="000F4A7A" w:rsidP="000F4A7A">
      <w:pPr>
        <w:keepNext/>
        <w:spacing w:after="120"/>
        <w:jc w:val="center"/>
        <w:outlineLvl w:val="0"/>
        <w:rPr>
          <w:b/>
          <w:bCs/>
          <w:kern w:val="32"/>
        </w:rPr>
      </w:pPr>
      <w:r w:rsidRPr="00C97233">
        <w:rPr>
          <w:b/>
          <w:bCs/>
          <w:kern w:val="32"/>
        </w:rPr>
        <w:t>РІШЕННЯ</w:t>
      </w:r>
    </w:p>
    <w:p w:rsidR="000F4A7A" w:rsidRPr="001A3643" w:rsidRDefault="0046379C" w:rsidP="000F4A7A">
      <w:pPr>
        <w:spacing w:before="120" w:after="120"/>
        <w:jc w:val="both"/>
        <w:rPr>
          <w:b/>
          <w:bCs/>
        </w:rPr>
      </w:pPr>
      <w:r>
        <w:rPr>
          <w:b/>
          <w:bCs/>
        </w:rPr>
        <w:t>26</w:t>
      </w:r>
      <w:r w:rsidR="000F4A7A">
        <w:rPr>
          <w:b/>
          <w:bCs/>
        </w:rPr>
        <w:t>.11.</w:t>
      </w:r>
      <w:r w:rsidR="000F4A7A" w:rsidRPr="001A3643">
        <w:rPr>
          <w:b/>
          <w:bCs/>
        </w:rPr>
        <w:t>2025</w:t>
      </w:r>
      <w:r w:rsidR="000F4A7A" w:rsidRPr="001A3643">
        <w:rPr>
          <w:b/>
          <w:bCs/>
        </w:rPr>
        <w:tab/>
      </w:r>
      <w:r w:rsidR="000F4A7A" w:rsidRPr="001A3643">
        <w:rPr>
          <w:b/>
          <w:bCs/>
        </w:rPr>
        <w:tab/>
      </w:r>
      <w:r w:rsidR="000F4A7A" w:rsidRPr="001A3643">
        <w:rPr>
          <w:b/>
          <w:bCs/>
        </w:rPr>
        <w:tab/>
      </w:r>
      <w:r w:rsidR="000F4A7A" w:rsidRPr="001A3643">
        <w:rPr>
          <w:b/>
          <w:bCs/>
        </w:rPr>
        <w:tab/>
      </w:r>
      <w:r w:rsidR="000F4A7A" w:rsidRPr="001A3643">
        <w:rPr>
          <w:b/>
          <w:bCs/>
        </w:rPr>
        <w:tab/>
        <w:t xml:space="preserve">  Ромни</w:t>
      </w:r>
    </w:p>
    <w:p w:rsidR="000F4A7A" w:rsidRPr="006D1907" w:rsidRDefault="000F4A7A" w:rsidP="000F4A7A">
      <w:pPr>
        <w:tabs>
          <w:tab w:val="left" w:pos="5245"/>
          <w:tab w:val="left" w:pos="9638"/>
        </w:tabs>
        <w:spacing w:before="120" w:after="120" w:line="276" w:lineRule="auto"/>
        <w:ind w:right="3401"/>
        <w:jc w:val="both"/>
        <w:rPr>
          <w:b/>
          <w:noProof/>
        </w:rPr>
      </w:pPr>
      <w:r w:rsidRPr="006D1907">
        <w:rPr>
          <w:b/>
          <w:noProof/>
        </w:rPr>
        <w:t xml:space="preserve">Про внесення змін до рішення Роменської міської ради від 22.11.2023 «Про адміністративні послуги, які надаються через Центр надання адміністративних послуг міста Ромни»  </w:t>
      </w:r>
    </w:p>
    <w:p w:rsidR="000F4A7A" w:rsidRPr="006D1907" w:rsidRDefault="000F4A7A" w:rsidP="000F4A7A">
      <w:pPr>
        <w:tabs>
          <w:tab w:val="left" w:pos="142"/>
        </w:tabs>
        <w:spacing w:before="120" w:after="120" w:line="276" w:lineRule="auto"/>
        <w:ind w:firstLine="567"/>
        <w:jc w:val="both"/>
      </w:pPr>
      <w:r w:rsidRPr="006D1907">
        <w:rPr>
          <w:noProof/>
        </w:rPr>
        <w:t xml:space="preserve">Відповідно до  статті 26 Закону України «Про місцеве самоврядування в Україні», статті 12 Закону України «Про адміністративні послуги», </w:t>
      </w:r>
      <w:r>
        <w:rPr>
          <w:noProof/>
        </w:rPr>
        <w:t xml:space="preserve">постанови Кабінету Міністрів України від 16 травня 2024 р. № 560 </w:t>
      </w:r>
      <w:r w:rsidRPr="000F4A7A">
        <w:rPr>
          <w:noProof/>
        </w:rPr>
        <w:t>«</w:t>
      </w:r>
      <w:r w:rsidRPr="000F4A7A">
        <w:rPr>
          <w:bCs/>
          <w:shd w:val="clear" w:color="auto" w:fill="FFFFFF"/>
        </w:rPr>
        <w:t>Питання проведення призову громадян на військову службу під час мобілізації, на особливий період»</w:t>
      </w:r>
      <w:r w:rsidRPr="000F4A7A">
        <w:t>,</w:t>
      </w:r>
      <w:r>
        <w:t xml:space="preserve"> </w:t>
      </w:r>
      <w:r w:rsidRPr="006D1907">
        <w:t>з метою приведення актів Роменської міської ради, які регламентують діяльність Центру надання адміністративних послуг, у відповідність до вимог діючого законодавства України</w:t>
      </w:r>
    </w:p>
    <w:p w:rsidR="000F4A7A" w:rsidRPr="006D1907" w:rsidRDefault="000F4A7A" w:rsidP="000F4A7A">
      <w:pPr>
        <w:spacing w:before="120" w:after="120"/>
        <w:jc w:val="both"/>
        <w:rPr>
          <w:noProof/>
        </w:rPr>
      </w:pPr>
      <w:r w:rsidRPr="006D1907">
        <w:rPr>
          <w:noProof/>
        </w:rPr>
        <w:t>МІСЬКА РАДА ВИРІШИЛА:</w:t>
      </w:r>
    </w:p>
    <w:p w:rsidR="000F4A7A" w:rsidRDefault="000F4A7A" w:rsidP="000F4A7A">
      <w:pPr>
        <w:spacing w:after="120" w:line="276" w:lineRule="auto"/>
        <w:ind w:firstLine="567"/>
        <w:jc w:val="both"/>
        <w:rPr>
          <w:noProof/>
        </w:rPr>
      </w:pPr>
      <w:r>
        <w:rPr>
          <w:noProof/>
          <w:color w:val="000000"/>
        </w:rPr>
        <w:t xml:space="preserve">1. </w:t>
      </w:r>
      <w:r w:rsidR="008E5264">
        <w:rPr>
          <w:noProof/>
        </w:rPr>
        <w:t xml:space="preserve">Внести </w:t>
      </w:r>
      <w:r w:rsidRPr="006D1907">
        <w:rPr>
          <w:noProof/>
        </w:rPr>
        <w:t xml:space="preserve">зміни </w:t>
      </w:r>
      <w:r>
        <w:rPr>
          <w:noProof/>
        </w:rPr>
        <w:t xml:space="preserve">до </w:t>
      </w:r>
      <w:r w:rsidRPr="006D1907">
        <w:rPr>
          <w:noProof/>
        </w:rPr>
        <w:t>Перелік</w:t>
      </w:r>
      <w:r>
        <w:rPr>
          <w:noProof/>
        </w:rPr>
        <w:t>у</w:t>
      </w:r>
      <w:r w:rsidRPr="006D1907">
        <w:rPr>
          <w:noProof/>
        </w:rPr>
        <w:t xml:space="preserve">  адміністративних послуг, які надаються через Центр надання адміністративних послуг міста Ромни</w:t>
      </w:r>
      <w:r>
        <w:rPr>
          <w:noProof/>
        </w:rPr>
        <w:t>, затвердженого</w:t>
      </w:r>
      <w:r w:rsidRPr="006D1907">
        <w:rPr>
          <w:noProof/>
        </w:rPr>
        <w:t xml:space="preserve"> рішення</w:t>
      </w:r>
      <w:r>
        <w:rPr>
          <w:noProof/>
        </w:rPr>
        <w:t>м</w:t>
      </w:r>
      <w:r w:rsidRPr="006D1907">
        <w:rPr>
          <w:noProof/>
        </w:rPr>
        <w:t xml:space="preserve"> Роменської міської ради від 22.11.2023 «Про адміністративні послуги, які надаються через Центр надання адміністративних послуг міста Ромни»</w:t>
      </w:r>
      <w:r>
        <w:rPr>
          <w:noProof/>
        </w:rPr>
        <w:t xml:space="preserve"> (додаток 1 до рішення)</w:t>
      </w:r>
      <w:r w:rsidR="008E5264">
        <w:rPr>
          <w:noProof/>
        </w:rPr>
        <w:t>, доповнивши його пунктом 396</w:t>
      </w:r>
      <w:r w:rsidRPr="006D1907">
        <w:rPr>
          <w:noProof/>
        </w:rPr>
        <w:t xml:space="preserve">: 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710"/>
        <w:gridCol w:w="2963"/>
        <w:gridCol w:w="3103"/>
        <w:gridCol w:w="2397"/>
      </w:tblGrid>
      <w:tr w:rsidR="00271CB3" w:rsidRPr="0068226E" w:rsidTr="008E5264">
        <w:trPr>
          <w:trHeight w:val="1057"/>
        </w:trPr>
        <w:tc>
          <w:tcPr>
            <w:tcW w:w="442" w:type="dxa"/>
            <w:shd w:val="clear" w:color="auto" w:fill="FFFFFF"/>
            <w:vAlign w:val="center"/>
          </w:tcPr>
          <w:p w:rsidR="00271CB3" w:rsidRPr="0068226E" w:rsidRDefault="00271CB3" w:rsidP="000E01E2">
            <w:pPr>
              <w:suppressAutoHyphens w:val="0"/>
              <w:spacing w:line="259" w:lineRule="auto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vAlign w:val="center"/>
            <w:hideMark/>
          </w:tcPr>
          <w:p w:rsidR="00271CB3" w:rsidRPr="0068226E" w:rsidRDefault="00271CB3" w:rsidP="000E01E2">
            <w:pPr>
              <w:suppressAutoHyphens w:val="0"/>
              <w:spacing w:line="259" w:lineRule="auto"/>
              <w:jc w:val="center"/>
              <w:rPr>
                <w:b/>
                <w:color w:val="000000"/>
                <w:lang w:eastAsia="ru-RU"/>
              </w:rPr>
            </w:pPr>
            <w:r w:rsidRPr="0068226E">
              <w:rPr>
                <w:b/>
                <w:color w:val="000000"/>
                <w:lang w:eastAsia="ru-RU"/>
              </w:rPr>
              <w:t>Ідентифікатор</w:t>
            </w:r>
          </w:p>
        </w:tc>
        <w:tc>
          <w:tcPr>
            <w:tcW w:w="2975" w:type="dxa"/>
            <w:shd w:val="clear" w:color="auto" w:fill="FFFFFF"/>
            <w:vAlign w:val="center"/>
            <w:hideMark/>
          </w:tcPr>
          <w:p w:rsidR="00271CB3" w:rsidRPr="0068226E" w:rsidRDefault="00271CB3" w:rsidP="000E01E2">
            <w:pPr>
              <w:suppressAutoHyphens w:val="0"/>
              <w:spacing w:line="259" w:lineRule="auto"/>
              <w:jc w:val="center"/>
              <w:rPr>
                <w:b/>
                <w:color w:val="000000"/>
                <w:lang w:eastAsia="ru-RU"/>
              </w:rPr>
            </w:pPr>
            <w:r w:rsidRPr="0068226E">
              <w:rPr>
                <w:b/>
                <w:color w:val="000000"/>
                <w:lang w:eastAsia="ru-RU"/>
              </w:rPr>
              <w:t>Найменування</w:t>
            </w:r>
            <w:r w:rsidRPr="0068226E">
              <w:rPr>
                <w:b/>
                <w:color w:val="000000"/>
                <w:lang w:val="en-US" w:eastAsia="ru-RU"/>
              </w:rPr>
              <w:t xml:space="preserve"> </w:t>
            </w:r>
            <w:r w:rsidRPr="0068226E">
              <w:rPr>
                <w:b/>
                <w:color w:val="000000"/>
                <w:lang w:eastAsia="ru-RU"/>
              </w:rPr>
              <w:t>адміністративної послуги</w:t>
            </w:r>
          </w:p>
        </w:tc>
        <w:tc>
          <w:tcPr>
            <w:tcW w:w="3116" w:type="dxa"/>
            <w:shd w:val="clear" w:color="auto" w:fill="FFFFFF"/>
            <w:vAlign w:val="center"/>
            <w:hideMark/>
          </w:tcPr>
          <w:p w:rsidR="00271CB3" w:rsidRPr="0068226E" w:rsidRDefault="00271CB3" w:rsidP="000E01E2">
            <w:pPr>
              <w:suppressAutoHyphens w:val="0"/>
              <w:spacing w:line="259" w:lineRule="auto"/>
              <w:jc w:val="center"/>
              <w:rPr>
                <w:b/>
                <w:color w:val="000000"/>
                <w:lang w:eastAsia="ru-RU"/>
              </w:rPr>
            </w:pPr>
            <w:r w:rsidRPr="0068226E">
              <w:rPr>
                <w:b/>
                <w:color w:val="000000"/>
                <w:lang w:eastAsia="ru-RU"/>
              </w:rPr>
              <w:t>Правові підстави для надання адміністративної послуги</w:t>
            </w:r>
          </w:p>
        </w:tc>
        <w:tc>
          <w:tcPr>
            <w:tcW w:w="2407" w:type="dxa"/>
            <w:shd w:val="clear" w:color="auto" w:fill="FFFFFF"/>
            <w:vAlign w:val="center"/>
          </w:tcPr>
          <w:p w:rsidR="00271CB3" w:rsidRPr="0068226E" w:rsidRDefault="00271CB3" w:rsidP="000E01E2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68226E">
              <w:rPr>
                <w:rFonts w:eastAsia="Calibri"/>
                <w:b/>
                <w:color w:val="000000"/>
                <w:lang w:eastAsia="uk-UA"/>
              </w:rPr>
              <w:t>Суб’єкт надання адміністративних</w:t>
            </w:r>
          </w:p>
          <w:p w:rsidR="00271CB3" w:rsidRPr="0068226E" w:rsidRDefault="00271CB3" w:rsidP="000E01E2">
            <w:pPr>
              <w:suppressAutoHyphens w:val="0"/>
              <w:spacing w:line="259" w:lineRule="auto"/>
              <w:jc w:val="center"/>
              <w:rPr>
                <w:b/>
                <w:color w:val="000000"/>
                <w:lang w:eastAsia="ru-RU"/>
              </w:rPr>
            </w:pPr>
            <w:r w:rsidRPr="0068226E">
              <w:rPr>
                <w:rFonts w:eastAsia="Calibri"/>
                <w:b/>
                <w:color w:val="000000"/>
                <w:lang w:eastAsia="uk-UA"/>
              </w:rPr>
              <w:t>послуг</w:t>
            </w:r>
          </w:p>
        </w:tc>
      </w:tr>
      <w:tr w:rsidR="00271CB3" w:rsidRPr="0068226E" w:rsidTr="008E5264">
        <w:trPr>
          <w:trHeight w:val="331"/>
        </w:trPr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1CB3" w:rsidRPr="0068226E" w:rsidRDefault="00271CB3" w:rsidP="000E01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226E">
              <w:rPr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1CB3" w:rsidRPr="0068226E" w:rsidRDefault="00271CB3" w:rsidP="000E01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226E">
              <w:rPr>
                <w:color w:val="000000"/>
                <w:lang w:eastAsia="ru-RU"/>
              </w:rPr>
              <w:t>2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1CB3" w:rsidRPr="0068226E" w:rsidRDefault="00271CB3" w:rsidP="000E01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226E">
              <w:rPr>
                <w:color w:val="000000"/>
                <w:lang w:eastAsia="ru-RU"/>
              </w:rPr>
              <w:t>3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1CB3" w:rsidRPr="0068226E" w:rsidRDefault="00271CB3" w:rsidP="000E01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226E">
              <w:rPr>
                <w:color w:val="000000"/>
                <w:lang w:eastAsia="ru-RU"/>
              </w:rPr>
              <w:t>4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1CB3" w:rsidRPr="0068226E" w:rsidRDefault="00271CB3" w:rsidP="000E01E2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68226E">
              <w:rPr>
                <w:rFonts w:eastAsia="Calibri"/>
                <w:color w:val="000000"/>
                <w:lang w:eastAsia="uk-UA"/>
              </w:rPr>
              <w:t>5</w:t>
            </w:r>
          </w:p>
        </w:tc>
      </w:tr>
      <w:tr w:rsidR="00271CB3" w:rsidRPr="00271CB3" w:rsidTr="008E5264">
        <w:trPr>
          <w:trHeight w:val="331"/>
        </w:trPr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</w:tcPr>
          <w:p w:rsidR="00271CB3" w:rsidRPr="00271CB3" w:rsidRDefault="008E5264" w:rsidP="008E526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396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/>
          </w:tcPr>
          <w:p w:rsidR="00271CB3" w:rsidRPr="00271CB3" w:rsidRDefault="00271CB3" w:rsidP="008E5264">
            <w:pPr>
              <w:suppressAutoHyphens w:val="0"/>
              <w:rPr>
                <w:color w:val="000000"/>
                <w:lang w:eastAsia="ru-RU"/>
              </w:rPr>
            </w:pPr>
            <w:r w:rsidRPr="00271CB3">
              <w:rPr>
                <w:color w:val="000000"/>
                <w:lang w:eastAsia="ru-RU"/>
              </w:rPr>
              <w:t>02643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FFFFFF"/>
          </w:tcPr>
          <w:p w:rsidR="00271CB3" w:rsidRPr="00271CB3" w:rsidRDefault="00271CB3" w:rsidP="008E5264">
            <w:pPr>
              <w:suppressAutoHyphens w:val="0"/>
              <w:rPr>
                <w:color w:val="000000"/>
                <w:lang w:eastAsia="ru-RU"/>
              </w:rPr>
            </w:pPr>
            <w:r w:rsidRPr="00271CB3">
              <w:rPr>
                <w:color w:val="000000"/>
                <w:shd w:val="clear" w:color="auto" w:fill="FFFFFF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FFFFFF"/>
          </w:tcPr>
          <w:p w:rsidR="00271CB3" w:rsidRPr="00271CB3" w:rsidRDefault="00271CB3" w:rsidP="008E526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Закон Україну «Про мобілізаційну підготовку та мобілізацію», </w:t>
            </w:r>
            <w:r>
              <w:rPr>
                <w:noProof/>
              </w:rPr>
              <w:t xml:space="preserve">постанова Кабінету Міністрів України від 16 травня 2024 р. № 560 </w:t>
            </w:r>
            <w:r w:rsidRPr="000F4A7A">
              <w:rPr>
                <w:noProof/>
              </w:rPr>
              <w:t>«</w:t>
            </w:r>
            <w:r w:rsidRPr="000F4A7A">
              <w:rPr>
                <w:bCs/>
                <w:shd w:val="clear" w:color="auto" w:fill="FFFFFF"/>
              </w:rPr>
              <w:t>Питання проведення призову громадян на військову службу під час мобілізації, на особливий період»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/>
          </w:tcPr>
          <w:p w:rsidR="00271CB3" w:rsidRPr="00271CB3" w:rsidRDefault="00EC77A4" w:rsidP="008E5264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color w:val="333333"/>
                <w:shd w:val="clear" w:color="auto" w:fill="FFFFFF"/>
              </w:rPr>
              <w:t>Територіальні центри комплектування та соціальної підтримки</w:t>
            </w:r>
          </w:p>
        </w:tc>
      </w:tr>
    </w:tbl>
    <w:p w:rsidR="00271CB3" w:rsidRPr="00271CB3" w:rsidRDefault="00271CB3" w:rsidP="00271CB3">
      <w:pPr>
        <w:spacing w:after="120" w:line="276" w:lineRule="auto"/>
        <w:ind w:firstLine="567"/>
        <w:rPr>
          <w:noProof/>
          <w:color w:val="000000"/>
        </w:rPr>
      </w:pPr>
    </w:p>
    <w:p w:rsidR="000F4A7A" w:rsidRPr="006D1907" w:rsidRDefault="008E5264" w:rsidP="000F4A7A">
      <w:pPr>
        <w:tabs>
          <w:tab w:val="left" w:pos="142"/>
        </w:tabs>
        <w:suppressAutoHyphens w:val="0"/>
        <w:spacing w:after="120" w:line="276" w:lineRule="auto"/>
        <w:ind w:firstLine="567"/>
        <w:jc w:val="both"/>
        <w:rPr>
          <w:noProof/>
        </w:rPr>
      </w:pPr>
      <w:r>
        <w:rPr>
          <w:noProof/>
        </w:rPr>
        <w:t xml:space="preserve">2. Внести </w:t>
      </w:r>
      <w:r w:rsidR="000F4A7A" w:rsidRPr="00905530">
        <w:rPr>
          <w:noProof/>
        </w:rPr>
        <w:t>зміни до П</w:t>
      </w:r>
      <w:proofErr w:type="spellStart"/>
      <w:r w:rsidR="000F4A7A" w:rsidRPr="00905530">
        <w:rPr>
          <w:rFonts w:eastAsia="Calibri"/>
          <w:lang w:eastAsia="uk-UA"/>
        </w:rPr>
        <w:t>ереліку</w:t>
      </w:r>
      <w:proofErr w:type="spellEnd"/>
      <w:r w:rsidR="000F4A7A" w:rsidRPr="00905530">
        <w:rPr>
          <w:rFonts w:eastAsia="Calibri"/>
          <w:lang w:eastAsia="uk-UA"/>
        </w:rPr>
        <w:t xml:space="preserve"> адміністративних послуг, </w:t>
      </w:r>
      <w:r w:rsidR="000F4A7A" w:rsidRPr="00905530">
        <w:rPr>
          <w:rFonts w:eastAsia="Calibri"/>
          <w:noProof/>
          <w:lang w:eastAsia="uk-UA"/>
        </w:rPr>
        <w:t xml:space="preserve">які надаються через віддалені (у тому числі пересувне) робочі місця адміністраторів </w:t>
      </w:r>
      <w:r w:rsidR="000F4A7A" w:rsidRPr="00905530">
        <w:rPr>
          <w:rFonts w:eastAsia="Calibri"/>
          <w:lang w:eastAsia="uk-UA" w:bidi="hi-IN"/>
        </w:rPr>
        <w:t>Центру надання адміністративних послуг міста Ромни, затвердженого рішенням</w:t>
      </w:r>
      <w:r w:rsidR="000F4A7A" w:rsidRPr="00905530">
        <w:rPr>
          <w:noProof/>
        </w:rPr>
        <w:t xml:space="preserve"> Роменської міської ради від 22.11.2023 «Про адміністративні послуги, які надаються через Центр надання</w:t>
      </w:r>
      <w:r w:rsidR="000F4A7A" w:rsidRPr="006D1907">
        <w:rPr>
          <w:noProof/>
        </w:rPr>
        <w:t xml:space="preserve"> адміністративних послуг міста Ромни»</w:t>
      </w:r>
      <w:r w:rsidR="000F4A7A">
        <w:rPr>
          <w:noProof/>
        </w:rPr>
        <w:t xml:space="preserve"> (додаток 2 до рішення)</w:t>
      </w:r>
      <w:r w:rsidR="00EF376A">
        <w:rPr>
          <w:noProof/>
        </w:rPr>
        <w:t>,</w:t>
      </w:r>
      <w:r>
        <w:rPr>
          <w:noProof/>
        </w:rPr>
        <w:t xml:space="preserve"> доповнивши його пунктом 196</w:t>
      </w:r>
      <w:r w:rsidR="000F4A7A" w:rsidRPr="006D1907">
        <w:rPr>
          <w:noProof/>
        </w:rPr>
        <w:t xml:space="preserve">: 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710"/>
        <w:gridCol w:w="2963"/>
        <w:gridCol w:w="3103"/>
        <w:gridCol w:w="2397"/>
      </w:tblGrid>
      <w:tr w:rsidR="008E5264" w:rsidRPr="0068226E" w:rsidTr="000E01E2">
        <w:trPr>
          <w:trHeight w:val="1057"/>
        </w:trPr>
        <w:tc>
          <w:tcPr>
            <w:tcW w:w="442" w:type="dxa"/>
            <w:shd w:val="clear" w:color="auto" w:fill="FFFFFF"/>
            <w:vAlign w:val="center"/>
          </w:tcPr>
          <w:p w:rsidR="008E5264" w:rsidRPr="0068226E" w:rsidRDefault="008E5264" w:rsidP="000E01E2">
            <w:pPr>
              <w:suppressAutoHyphens w:val="0"/>
              <w:spacing w:line="259" w:lineRule="auto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vAlign w:val="center"/>
            <w:hideMark/>
          </w:tcPr>
          <w:p w:rsidR="008E5264" w:rsidRPr="0068226E" w:rsidRDefault="008E5264" w:rsidP="000E01E2">
            <w:pPr>
              <w:suppressAutoHyphens w:val="0"/>
              <w:spacing w:line="259" w:lineRule="auto"/>
              <w:jc w:val="center"/>
              <w:rPr>
                <w:b/>
                <w:color w:val="000000"/>
                <w:lang w:eastAsia="ru-RU"/>
              </w:rPr>
            </w:pPr>
            <w:r w:rsidRPr="0068226E">
              <w:rPr>
                <w:b/>
                <w:color w:val="000000"/>
                <w:lang w:eastAsia="ru-RU"/>
              </w:rPr>
              <w:t>Ідентифікатор</w:t>
            </w:r>
          </w:p>
        </w:tc>
        <w:tc>
          <w:tcPr>
            <w:tcW w:w="2975" w:type="dxa"/>
            <w:shd w:val="clear" w:color="auto" w:fill="FFFFFF"/>
            <w:vAlign w:val="center"/>
            <w:hideMark/>
          </w:tcPr>
          <w:p w:rsidR="008E5264" w:rsidRPr="0068226E" w:rsidRDefault="008E5264" w:rsidP="000E01E2">
            <w:pPr>
              <w:suppressAutoHyphens w:val="0"/>
              <w:spacing w:line="259" w:lineRule="auto"/>
              <w:jc w:val="center"/>
              <w:rPr>
                <w:b/>
                <w:color w:val="000000"/>
                <w:lang w:eastAsia="ru-RU"/>
              </w:rPr>
            </w:pPr>
            <w:r w:rsidRPr="0068226E">
              <w:rPr>
                <w:b/>
                <w:color w:val="000000"/>
                <w:lang w:eastAsia="ru-RU"/>
              </w:rPr>
              <w:t>Найменування</w:t>
            </w:r>
            <w:r w:rsidRPr="0068226E">
              <w:rPr>
                <w:b/>
                <w:color w:val="000000"/>
                <w:lang w:val="en-US" w:eastAsia="ru-RU"/>
              </w:rPr>
              <w:t xml:space="preserve"> </w:t>
            </w:r>
            <w:r w:rsidRPr="0068226E">
              <w:rPr>
                <w:b/>
                <w:color w:val="000000"/>
                <w:lang w:eastAsia="ru-RU"/>
              </w:rPr>
              <w:t>адміністративної послуги</w:t>
            </w:r>
          </w:p>
        </w:tc>
        <w:tc>
          <w:tcPr>
            <w:tcW w:w="3116" w:type="dxa"/>
            <w:shd w:val="clear" w:color="auto" w:fill="FFFFFF"/>
            <w:vAlign w:val="center"/>
            <w:hideMark/>
          </w:tcPr>
          <w:p w:rsidR="008E5264" w:rsidRPr="0068226E" w:rsidRDefault="008E5264" w:rsidP="000E01E2">
            <w:pPr>
              <w:suppressAutoHyphens w:val="0"/>
              <w:spacing w:line="259" w:lineRule="auto"/>
              <w:jc w:val="center"/>
              <w:rPr>
                <w:b/>
                <w:color w:val="000000"/>
                <w:lang w:eastAsia="ru-RU"/>
              </w:rPr>
            </w:pPr>
            <w:r w:rsidRPr="0068226E">
              <w:rPr>
                <w:b/>
                <w:color w:val="000000"/>
                <w:lang w:eastAsia="ru-RU"/>
              </w:rPr>
              <w:t>Правові підстави для надання адміністративної послуги</w:t>
            </w:r>
          </w:p>
        </w:tc>
        <w:tc>
          <w:tcPr>
            <w:tcW w:w="2407" w:type="dxa"/>
            <w:shd w:val="clear" w:color="auto" w:fill="FFFFFF"/>
            <w:vAlign w:val="center"/>
          </w:tcPr>
          <w:p w:rsidR="008E5264" w:rsidRPr="0068226E" w:rsidRDefault="008E5264" w:rsidP="000E01E2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68226E">
              <w:rPr>
                <w:rFonts w:eastAsia="Calibri"/>
                <w:b/>
                <w:color w:val="000000"/>
                <w:lang w:eastAsia="uk-UA"/>
              </w:rPr>
              <w:t>Суб’єкт надання адміністративних</w:t>
            </w:r>
          </w:p>
          <w:p w:rsidR="008E5264" w:rsidRPr="0068226E" w:rsidRDefault="008E5264" w:rsidP="000E01E2">
            <w:pPr>
              <w:suppressAutoHyphens w:val="0"/>
              <w:spacing w:line="259" w:lineRule="auto"/>
              <w:jc w:val="center"/>
              <w:rPr>
                <w:b/>
                <w:color w:val="000000"/>
                <w:lang w:eastAsia="ru-RU"/>
              </w:rPr>
            </w:pPr>
            <w:r w:rsidRPr="0068226E">
              <w:rPr>
                <w:rFonts w:eastAsia="Calibri"/>
                <w:b/>
                <w:color w:val="000000"/>
                <w:lang w:eastAsia="uk-UA"/>
              </w:rPr>
              <w:t>послуг</w:t>
            </w:r>
          </w:p>
        </w:tc>
      </w:tr>
      <w:tr w:rsidR="008E5264" w:rsidRPr="0068226E" w:rsidTr="000E01E2">
        <w:trPr>
          <w:trHeight w:val="331"/>
        </w:trPr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5264" w:rsidRPr="0068226E" w:rsidRDefault="008E5264" w:rsidP="000E01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226E">
              <w:rPr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5264" w:rsidRPr="0068226E" w:rsidRDefault="008E5264" w:rsidP="000E01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226E">
              <w:rPr>
                <w:color w:val="000000"/>
                <w:lang w:eastAsia="ru-RU"/>
              </w:rPr>
              <w:t>2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5264" w:rsidRPr="0068226E" w:rsidRDefault="008E5264" w:rsidP="000E01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226E">
              <w:rPr>
                <w:color w:val="000000"/>
                <w:lang w:eastAsia="ru-RU"/>
              </w:rPr>
              <w:t>3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5264" w:rsidRPr="0068226E" w:rsidRDefault="008E5264" w:rsidP="000E01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226E">
              <w:rPr>
                <w:color w:val="000000"/>
                <w:lang w:eastAsia="ru-RU"/>
              </w:rPr>
              <w:t>4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5264" w:rsidRPr="0068226E" w:rsidRDefault="008E5264" w:rsidP="000E01E2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68226E">
              <w:rPr>
                <w:rFonts w:eastAsia="Calibri"/>
                <w:color w:val="000000"/>
                <w:lang w:eastAsia="uk-UA"/>
              </w:rPr>
              <w:t>5</w:t>
            </w:r>
          </w:p>
        </w:tc>
      </w:tr>
      <w:tr w:rsidR="008E5264" w:rsidRPr="00271CB3" w:rsidTr="000E01E2">
        <w:trPr>
          <w:trHeight w:val="331"/>
        </w:trPr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</w:tcPr>
          <w:p w:rsidR="008E5264" w:rsidRPr="00271CB3" w:rsidRDefault="008E5264" w:rsidP="000E01E2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196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/>
          </w:tcPr>
          <w:p w:rsidR="008E5264" w:rsidRPr="00271CB3" w:rsidRDefault="008E5264" w:rsidP="000E01E2">
            <w:pPr>
              <w:suppressAutoHyphens w:val="0"/>
              <w:rPr>
                <w:color w:val="000000"/>
                <w:lang w:eastAsia="ru-RU"/>
              </w:rPr>
            </w:pPr>
            <w:r w:rsidRPr="00271CB3">
              <w:rPr>
                <w:color w:val="000000"/>
                <w:lang w:eastAsia="ru-RU"/>
              </w:rPr>
              <w:t>02643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FFFFFF"/>
          </w:tcPr>
          <w:p w:rsidR="008E5264" w:rsidRPr="00271CB3" w:rsidRDefault="008E5264" w:rsidP="000E01E2">
            <w:pPr>
              <w:suppressAutoHyphens w:val="0"/>
              <w:rPr>
                <w:color w:val="000000"/>
                <w:lang w:eastAsia="ru-RU"/>
              </w:rPr>
            </w:pPr>
            <w:r w:rsidRPr="00271CB3">
              <w:rPr>
                <w:color w:val="000000"/>
                <w:shd w:val="clear" w:color="auto" w:fill="FFFFFF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FFFFFF"/>
          </w:tcPr>
          <w:p w:rsidR="008E5264" w:rsidRPr="00271CB3" w:rsidRDefault="008E5264" w:rsidP="000E01E2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Закон Україну «Про мобілізаційну підготовку та мобілізацію», </w:t>
            </w:r>
            <w:r>
              <w:rPr>
                <w:noProof/>
              </w:rPr>
              <w:t xml:space="preserve">постанова Кабінету Міністрів України від 16 травня 2024 р. № 560 </w:t>
            </w:r>
            <w:r w:rsidRPr="000F4A7A">
              <w:rPr>
                <w:noProof/>
              </w:rPr>
              <w:t>«</w:t>
            </w:r>
            <w:r w:rsidRPr="000F4A7A">
              <w:rPr>
                <w:bCs/>
                <w:shd w:val="clear" w:color="auto" w:fill="FFFFFF"/>
              </w:rPr>
              <w:t>Питання проведення призову громадян на військову службу під час мобілізації, на особливий період»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/>
          </w:tcPr>
          <w:p w:rsidR="008E5264" w:rsidRPr="00271CB3" w:rsidRDefault="00EC77A4" w:rsidP="000E01E2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color w:val="333333"/>
                <w:shd w:val="clear" w:color="auto" w:fill="FFFFFF"/>
              </w:rPr>
              <w:t>Територіальні центри комплектування та соціальної підтримки</w:t>
            </w:r>
          </w:p>
        </w:tc>
      </w:tr>
    </w:tbl>
    <w:p w:rsidR="00967E8D" w:rsidRDefault="00967E8D"/>
    <w:p w:rsidR="008E5264" w:rsidRDefault="008E5264"/>
    <w:p w:rsidR="000B3256" w:rsidRDefault="000B3256" w:rsidP="008E5264">
      <w:pPr>
        <w:shd w:val="clear" w:color="auto" w:fill="FFFFFF"/>
        <w:rPr>
          <w:b/>
          <w:bCs/>
          <w:color w:val="000000"/>
        </w:rPr>
      </w:pPr>
    </w:p>
    <w:p w:rsidR="008E5264" w:rsidRPr="0066145A" w:rsidRDefault="008E5264" w:rsidP="008E5264">
      <w:pPr>
        <w:shd w:val="clear" w:color="auto" w:fill="FFFFFF"/>
        <w:rPr>
          <w:b/>
          <w:bCs/>
          <w:color w:val="000000"/>
        </w:rPr>
      </w:pPr>
      <w:r w:rsidRPr="0066145A">
        <w:rPr>
          <w:b/>
          <w:bCs/>
          <w:color w:val="000000"/>
        </w:rPr>
        <w:t xml:space="preserve">Міський голова   </w:t>
      </w:r>
      <w:r w:rsidRPr="0066145A">
        <w:rPr>
          <w:b/>
          <w:bCs/>
          <w:color w:val="000000"/>
        </w:rPr>
        <w:tab/>
      </w:r>
      <w:r w:rsidRPr="0066145A">
        <w:rPr>
          <w:b/>
          <w:bCs/>
          <w:color w:val="000000"/>
        </w:rPr>
        <w:tab/>
      </w:r>
      <w:r w:rsidRPr="0066145A">
        <w:rPr>
          <w:b/>
          <w:bCs/>
          <w:color w:val="000000"/>
        </w:rPr>
        <w:tab/>
      </w:r>
      <w:r w:rsidRPr="0066145A">
        <w:rPr>
          <w:b/>
          <w:bCs/>
          <w:color w:val="000000"/>
        </w:rPr>
        <w:tab/>
      </w:r>
      <w:r w:rsidRPr="0066145A">
        <w:rPr>
          <w:b/>
          <w:bCs/>
          <w:color w:val="000000"/>
        </w:rPr>
        <w:tab/>
      </w:r>
      <w:r w:rsidRPr="0066145A">
        <w:rPr>
          <w:b/>
          <w:bCs/>
          <w:color w:val="000000"/>
        </w:rPr>
        <w:tab/>
      </w:r>
      <w:r w:rsidRPr="0066145A">
        <w:rPr>
          <w:b/>
          <w:bCs/>
          <w:color w:val="000000"/>
        </w:rPr>
        <w:tab/>
        <w:t xml:space="preserve">     Олег СТОГНІЙ</w:t>
      </w:r>
    </w:p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8E5264" w:rsidRDefault="008E5264"/>
    <w:p w:rsidR="0046379C" w:rsidRDefault="0046379C"/>
    <w:p w:rsidR="0046379C" w:rsidRDefault="0046379C">
      <w:bookmarkStart w:id="0" w:name="_GoBack"/>
      <w:bookmarkEnd w:id="0"/>
    </w:p>
    <w:p w:rsidR="008E5264" w:rsidRDefault="008E5264"/>
    <w:p w:rsidR="008E5264" w:rsidRDefault="008E5264"/>
    <w:p w:rsidR="008E5264" w:rsidRDefault="008E5264"/>
    <w:p w:rsidR="008E5264" w:rsidRDefault="008E5264" w:rsidP="0066725E">
      <w:pPr>
        <w:spacing w:line="271" w:lineRule="auto"/>
        <w:jc w:val="center"/>
        <w:rPr>
          <w:b/>
        </w:rPr>
      </w:pPr>
      <w:r>
        <w:rPr>
          <w:b/>
        </w:rPr>
        <w:lastRenderedPageBreak/>
        <w:t xml:space="preserve">ПОЯСНЮВАЛЬНА ЗАПИСКА </w:t>
      </w:r>
    </w:p>
    <w:p w:rsidR="008E5264" w:rsidRDefault="008E5264" w:rsidP="0066725E">
      <w:pPr>
        <w:spacing w:line="271" w:lineRule="auto"/>
        <w:jc w:val="center"/>
        <w:rPr>
          <w:b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рішення міської ради</w:t>
      </w:r>
    </w:p>
    <w:p w:rsidR="008E5264" w:rsidRDefault="008E5264" w:rsidP="0066725E">
      <w:pPr>
        <w:tabs>
          <w:tab w:val="left" w:pos="9638"/>
        </w:tabs>
        <w:spacing w:line="271" w:lineRule="auto"/>
        <w:jc w:val="center"/>
        <w:rPr>
          <w:b/>
          <w:noProof/>
        </w:rPr>
      </w:pPr>
      <w:r w:rsidRPr="00BE3135">
        <w:rPr>
          <w:b/>
          <w:noProof/>
        </w:rPr>
        <w:t>«Про внесення змін до рішення Роменської міської ради від 23.12.2021</w:t>
      </w:r>
    </w:p>
    <w:p w:rsidR="008E5264" w:rsidRDefault="008E5264" w:rsidP="0066725E">
      <w:pPr>
        <w:tabs>
          <w:tab w:val="left" w:pos="9638"/>
        </w:tabs>
        <w:spacing w:line="271" w:lineRule="auto"/>
        <w:jc w:val="center"/>
        <w:rPr>
          <w:b/>
          <w:noProof/>
          <w:color w:val="000000"/>
        </w:rPr>
      </w:pPr>
      <w:r w:rsidRPr="00BE3135">
        <w:rPr>
          <w:b/>
          <w:noProof/>
        </w:rPr>
        <w:t xml:space="preserve"> «Про</w:t>
      </w:r>
      <w:r w:rsidRPr="0066145A">
        <w:rPr>
          <w:b/>
          <w:noProof/>
          <w:color w:val="000000"/>
        </w:rPr>
        <w:t xml:space="preserve"> адміністративні послуги, які надаються через </w:t>
      </w:r>
    </w:p>
    <w:p w:rsidR="008E5264" w:rsidRPr="0066725E" w:rsidRDefault="008E5264" w:rsidP="0066725E">
      <w:pPr>
        <w:tabs>
          <w:tab w:val="left" w:pos="9638"/>
        </w:tabs>
        <w:spacing w:line="271" w:lineRule="auto"/>
        <w:jc w:val="center"/>
        <w:rPr>
          <w:b/>
          <w:noProof/>
        </w:rPr>
      </w:pPr>
      <w:r w:rsidRPr="0066725E">
        <w:rPr>
          <w:b/>
          <w:noProof/>
        </w:rPr>
        <w:t>Центр надання адміністративних послуг міста Ромни»</w:t>
      </w:r>
    </w:p>
    <w:p w:rsidR="008E5264" w:rsidRPr="0054562D" w:rsidRDefault="008E5264" w:rsidP="008E5264">
      <w:pPr>
        <w:tabs>
          <w:tab w:val="left" w:pos="9638"/>
        </w:tabs>
        <w:jc w:val="center"/>
        <w:rPr>
          <w:noProof/>
          <w:color w:val="000000" w:themeColor="text1"/>
        </w:rPr>
      </w:pPr>
    </w:p>
    <w:p w:rsidR="0054562D" w:rsidRPr="0054562D" w:rsidRDefault="0054562D" w:rsidP="000B3256">
      <w:pPr>
        <w:tabs>
          <w:tab w:val="left" w:pos="567"/>
        </w:tabs>
        <w:spacing w:after="120" w:line="271" w:lineRule="auto"/>
        <w:ind w:firstLine="567"/>
        <w:jc w:val="both"/>
        <w:rPr>
          <w:noProof/>
          <w:color w:val="000000" w:themeColor="text1"/>
        </w:rPr>
      </w:pPr>
      <w:r w:rsidRPr="0054562D">
        <w:rPr>
          <w:noProof/>
          <w:color w:val="000000" w:themeColor="text1"/>
        </w:rPr>
        <w:t>Постановою Кабінету Міністрів України від 24 жовтня 2025 р. № 1364 внесено зміни до постанови Кабінету Міністрів України від 16 травня 2024 р. № 560 «</w:t>
      </w:r>
      <w:r w:rsidRPr="0054562D">
        <w:rPr>
          <w:bCs/>
          <w:color w:val="000000" w:themeColor="text1"/>
          <w:shd w:val="clear" w:color="auto" w:fill="FFFFFF"/>
        </w:rPr>
        <w:t>Питання проведення призову громадян на військову службу під час мобілізації, на особливий період»</w:t>
      </w:r>
      <w:r w:rsidRPr="0054562D">
        <w:rPr>
          <w:color w:val="000000" w:themeColor="text1"/>
        </w:rPr>
        <w:t>. Зміни передбачають подання документів про надання відстрочки від призову на військову службу через центри надання адміністративних послуг.</w:t>
      </w:r>
    </w:p>
    <w:p w:rsidR="0054562D" w:rsidRDefault="0054562D" w:rsidP="000B3256">
      <w:pPr>
        <w:tabs>
          <w:tab w:val="left" w:pos="567"/>
        </w:tabs>
        <w:spacing w:after="120" w:line="271" w:lineRule="auto"/>
        <w:ind w:firstLine="567"/>
        <w:jc w:val="both"/>
        <w:rPr>
          <w:noProof/>
        </w:rPr>
      </w:pPr>
      <w:r>
        <w:rPr>
          <w:color w:val="000000" w:themeColor="text1"/>
        </w:rPr>
        <w:tab/>
      </w:r>
      <w:r w:rsidRPr="0054562D">
        <w:rPr>
          <w:color w:val="000000" w:themeColor="text1"/>
        </w:rPr>
        <w:t>З метою приведення актів Роменської міської ради, які регламентують діяльність Центру надання адміністративних послуг, у відповідність до вимог діючого законодавства</w:t>
      </w:r>
      <w:r w:rsidRPr="006D1907">
        <w:t xml:space="preserve"> України</w:t>
      </w:r>
      <w:r>
        <w:t xml:space="preserve">, ця послуга вноситься до Переліку </w:t>
      </w:r>
      <w:r w:rsidRPr="006D1907">
        <w:rPr>
          <w:noProof/>
        </w:rPr>
        <w:t xml:space="preserve">адміністративних послуг, які надаються через </w:t>
      </w:r>
      <w:r w:rsidRPr="0066725E">
        <w:rPr>
          <w:noProof/>
        </w:rPr>
        <w:t>Центр надання адміністративних послуг міста Ромни</w:t>
      </w:r>
      <w:r w:rsidR="00871B53" w:rsidRPr="0066725E">
        <w:rPr>
          <w:noProof/>
        </w:rPr>
        <w:t xml:space="preserve"> та відда</w:t>
      </w:r>
      <w:r w:rsidRPr="0066725E">
        <w:rPr>
          <w:noProof/>
        </w:rPr>
        <w:t>лені робочі місця</w:t>
      </w:r>
      <w:r>
        <w:rPr>
          <w:noProof/>
        </w:rPr>
        <w:t xml:space="preserve"> адміністраторів</w:t>
      </w:r>
      <w:r w:rsidR="00871B53">
        <w:rPr>
          <w:noProof/>
        </w:rPr>
        <w:t>.</w:t>
      </w:r>
    </w:p>
    <w:p w:rsidR="000B3256" w:rsidRDefault="000B3256" w:rsidP="008E5264">
      <w:pPr>
        <w:spacing w:line="276" w:lineRule="auto"/>
        <w:ind w:right="-710"/>
        <w:jc w:val="both"/>
        <w:rPr>
          <w:b/>
          <w:color w:val="000000"/>
        </w:rPr>
      </w:pPr>
    </w:p>
    <w:p w:rsidR="000B3256" w:rsidRDefault="000B3256" w:rsidP="008E5264">
      <w:pPr>
        <w:spacing w:line="276" w:lineRule="auto"/>
        <w:ind w:right="-710"/>
        <w:jc w:val="both"/>
        <w:rPr>
          <w:b/>
          <w:color w:val="000000"/>
        </w:rPr>
      </w:pPr>
    </w:p>
    <w:p w:rsidR="008E5264" w:rsidRPr="0066145A" w:rsidRDefault="008E5264" w:rsidP="008E5264">
      <w:pPr>
        <w:spacing w:line="276" w:lineRule="auto"/>
        <w:ind w:right="-710"/>
        <w:jc w:val="both"/>
        <w:rPr>
          <w:b/>
          <w:color w:val="000000"/>
        </w:rPr>
      </w:pPr>
      <w:r w:rsidRPr="0066145A">
        <w:rPr>
          <w:b/>
          <w:color w:val="000000"/>
        </w:rPr>
        <w:t xml:space="preserve">Начальник </w:t>
      </w:r>
      <w:r w:rsidR="000B3256">
        <w:rPr>
          <w:b/>
          <w:color w:val="000000"/>
        </w:rPr>
        <w:t>У</w:t>
      </w:r>
      <w:r w:rsidRPr="0066145A">
        <w:rPr>
          <w:b/>
          <w:color w:val="000000"/>
        </w:rPr>
        <w:t xml:space="preserve">правління </w:t>
      </w:r>
    </w:p>
    <w:p w:rsidR="0066725E" w:rsidRDefault="008E5264" w:rsidP="0066725E">
      <w:pPr>
        <w:spacing w:line="276" w:lineRule="auto"/>
        <w:ind w:right="-709"/>
        <w:jc w:val="both"/>
        <w:rPr>
          <w:b/>
          <w:color w:val="000000"/>
        </w:rPr>
      </w:pPr>
      <w:r>
        <w:rPr>
          <w:b/>
          <w:color w:val="000000"/>
        </w:rPr>
        <w:t>адміністративних послуг</w:t>
      </w:r>
      <w:r w:rsidR="007A0507">
        <w:rPr>
          <w:b/>
          <w:color w:val="000000"/>
        </w:rPr>
        <w:t xml:space="preserve"> </w:t>
      </w:r>
    </w:p>
    <w:p w:rsidR="008E5264" w:rsidRPr="0066145A" w:rsidRDefault="007A0507" w:rsidP="008E5264">
      <w:pPr>
        <w:spacing w:after="120" w:line="276" w:lineRule="auto"/>
        <w:ind w:right="-710"/>
        <w:jc w:val="both"/>
        <w:rPr>
          <w:b/>
          <w:color w:val="000000"/>
        </w:rPr>
      </w:pPr>
      <w:r>
        <w:rPr>
          <w:b/>
          <w:color w:val="000000"/>
        </w:rPr>
        <w:t>Роменської міської ради</w:t>
      </w:r>
      <w:r w:rsidR="008E5264">
        <w:rPr>
          <w:b/>
          <w:color w:val="000000"/>
        </w:rPr>
        <w:tab/>
      </w:r>
      <w:r w:rsidR="008E5264">
        <w:rPr>
          <w:b/>
          <w:color w:val="000000"/>
        </w:rPr>
        <w:tab/>
      </w:r>
      <w:r w:rsidR="008E5264">
        <w:rPr>
          <w:b/>
          <w:color w:val="000000"/>
        </w:rPr>
        <w:tab/>
      </w:r>
      <w:r w:rsidR="008E5264">
        <w:rPr>
          <w:b/>
          <w:color w:val="000000"/>
        </w:rPr>
        <w:tab/>
      </w:r>
      <w:r w:rsidR="008E5264">
        <w:rPr>
          <w:b/>
          <w:color w:val="000000"/>
        </w:rPr>
        <w:tab/>
      </w:r>
      <w:r w:rsidR="0066725E">
        <w:rPr>
          <w:b/>
          <w:color w:val="000000"/>
        </w:rPr>
        <w:tab/>
      </w:r>
      <w:proofErr w:type="spellStart"/>
      <w:r w:rsidR="008E5264" w:rsidRPr="0066145A">
        <w:rPr>
          <w:b/>
          <w:color w:val="000000"/>
        </w:rPr>
        <w:t>Павліна</w:t>
      </w:r>
      <w:proofErr w:type="spellEnd"/>
      <w:r w:rsidR="008E5264" w:rsidRPr="0066145A">
        <w:rPr>
          <w:b/>
          <w:color w:val="000000"/>
        </w:rPr>
        <w:t xml:space="preserve"> ОГАНЕСЯН</w:t>
      </w:r>
    </w:p>
    <w:p w:rsidR="008E5264" w:rsidRPr="0066145A" w:rsidRDefault="008E5264" w:rsidP="008E5264">
      <w:pPr>
        <w:spacing w:line="276" w:lineRule="auto"/>
        <w:ind w:right="-710"/>
        <w:jc w:val="both"/>
        <w:rPr>
          <w:b/>
          <w:color w:val="000000"/>
        </w:rPr>
      </w:pPr>
      <w:r w:rsidRPr="0066145A">
        <w:rPr>
          <w:b/>
          <w:color w:val="000000"/>
        </w:rPr>
        <w:t>П</w:t>
      </w:r>
      <w:r>
        <w:rPr>
          <w:b/>
          <w:color w:val="000000"/>
        </w:rPr>
        <w:t>огоджено</w:t>
      </w:r>
    </w:p>
    <w:p w:rsidR="008E5264" w:rsidRDefault="008E5264" w:rsidP="008E5264">
      <w:pPr>
        <w:spacing w:after="120" w:line="276" w:lineRule="auto"/>
        <w:ind w:right="-710"/>
        <w:jc w:val="both"/>
        <w:rPr>
          <w:b/>
          <w:color w:val="000000"/>
        </w:rPr>
      </w:pPr>
      <w:r>
        <w:rPr>
          <w:b/>
          <w:color w:val="000000"/>
        </w:rPr>
        <w:t>Керуючий справами виконкому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66145A">
        <w:rPr>
          <w:b/>
          <w:color w:val="000000"/>
        </w:rPr>
        <w:t>Наталія МОСКАЛЕНКО</w:t>
      </w:r>
    </w:p>
    <w:p w:rsidR="008E5264" w:rsidRDefault="008E5264" w:rsidP="008E5264">
      <w:pPr>
        <w:spacing w:after="120" w:line="276" w:lineRule="auto"/>
        <w:ind w:right="-710"/>
        <w:jc w:val="both"/>
        <w:rPr>
          <w:b/>
          <w:color w:val="000000"/>
        </w:rPr>
      </w:pPr>
    </w:p>
    <w:p w:rsidR="008E5264" w:rsidRDefault="008E5264" w:rsidP="008E5264"/>
    <w:p w:rsidR="008E5264" w:rsidRDefault="008E5264" w:rsidP="008E5264"/>
    <w:p w:rsidR="008E5264" w:rsidRDefault="008E5264" w:rsidP="008E5264"/>
    <w:p w:rsidR="008E5264" w:rsidRDefault="008E5264"/>
    <w:sectPr w:rsidR="008E5264" w:rsidSect="000F4A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7A"/>
    <w:rsid w:val="00000914"/>
    <w:rsid w:val="00012752"/>
    <w:rsid w:val="00070443"/>
    <w:rsid w:val="000B3256"/>
    <w:rsid w:val="000F4A7A"/>
    <w:rsid w:val="0025003A"/>
    <w:rsid w:val="00271CB3"/>
    <w:rsid w:val="002F4E79"/>
    <w:rsid w:val="00344FD2"/>
    <w:rsid w:val="00351F0A"/>
    <w:rsid w:val="00390317"/>
    <w:rsid w:val="003F492C"/>
    <w:rsid w:val="0046379C"/>
    <w:rsid w:val="004A542E"/>
    <w:rsid w:val="00541D38"/>
    <w:rsid w:val="0054562D"/>
    <w:rsid w:val="005E0D13"/>
    <w:rsid w:val="00622D06"/>
    <w:rsid w:val="0066725E"/>
    <w:rsid w:val="00786145"/>
    <w:rsid w:val="007A0507"/>
    <w:rsid w:val="00871B53"/>
    <w:rsid w:val="008E5264"/>
    <w:rsid w:val="00906E98"/>
    <w:rsid w:val="00967E8D"/>
    <w:rsid w:val="00A82F8A"/>
    <w:rsid w:val="00A96621"/>
    <w:rsid w:val="00AD72A7"/>
    <w:rsid w:val="00B41352"/>
    <w:rsid w:val="00B64384"/>
    <w:rsid w:val="00C10E71"/>
    <w:rsid w:val="00C752DA"/>
    <w:rsid w:val="00D956D8"/>
    <w:rsid w:val="00E018F0"/>
    <w:rsid w:val="00E7400B"/>
    <w:rsid w:val="00E93BEB"/>
    <w:rsid w:val="00E94015"/>
    <w:rsid w:val="00EC77A4"/>
    <w:rsid w:val="00E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7A8B"/>
  <w15:docId w15:val="{78DB7BE2-475E-48F5-A648-EF189DE9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A7A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F4A7A"/>
    <w:rPr>
      <w:b/>
      <w:bCs/>
    </w:rPr>
  </w:style>
  <w:style w:type="paragraph" w:styleId="a4">
    <w:name w:val="Normal (Web)"/>
    <w:basedOn w:val="a"/>
    <w:uiPriority w:val="99"/>
    <w:semiHidden/>
    <w:unhideWhenUsed/>
    <w:rsid w:val="0054562D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6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2449</Words>
  <Characters>1397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dcterms:created xsi:type="dcterms:W3CDTF">2025-11-10T13:34:00Z</dcterms:created>
  <dcterms:modified xsi:type="dcterms:W3CDTF">2025-11-10T13:42:00Z</dcterms:modified>
</cp:coreProperties>
</file>