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3026" w:rsidRPr="00F34A64" w:rsidRDefault="00783867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3026" w:rsidRPr="00F34A64" w:rsidRDefault="00643026" w:rsidP="00F20DAB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F34A64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687DEB" w:rsidRPr="00F34A64" w:rsidRDefault="00687DEB" w:rsidP="00687DE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34A64">
        <w:rPr>
          <w:rFonts w:ascii="Times New Roman" w:hAnsi="Times New Roman"/>
          <w:b/>
          <w:sz w:val="24"/>
          <w:szCs w:val="24"/>
          <w:lang w:val="uk-UA"/>
        </w:rPr>
        <w:t>ВОСЬМЕ СКЛИКАННЯ</w:t>
      </w:r>
    </w:p>
    <w:p w:rsidR="0095035A" w:rsidRPr="006D2A0E" w:rsidRDefault="006D2A0E" w:rsidP="00676015">
      <w:pPr>
        <w:spacing w:before="120"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D2A0E">
        <w:rPr>
          <w:rFonts w:ascii="Times New Roman" w:hAnsi="Times New Roman"/>
          <w:b/>
          <w:sz w:val="24"/>
          <w:szCs w:val="24"/>
          <w:lang w:val="uk-UA"/>
        </w:rPr>
        <w:t>СТО ПЕРША</w:t>
      </w:r>
      <w:r w:rsidR="00524D06" w:rsidRPr="006D2A0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5035A" w:rsidRPr="006D2A0E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95035A" w:rsidRPr="00A436CD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A436CD">
        <w:rPr>
          <w:rFonts w:ascii="Times New Roman" w:eastAsia="Times New Roman" w:hAnsi="Times New Roman"/>
          <w:b/>
          <w:bCs/>
          <w:sz w:val="24"/>
          <w:lang w:val="uk-UA"/>
        </w:rPr>
        <w:t>РІШЕННЯ</w:t>
      </w:r>
    </w:p>
    <w:p w:rsidR="0095035A" w:rsidRPr="00A436CD" w:rsidRDefault="0095035A" w:rsidP="0067601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95035A" w:rsidRPr="003D0F0D" w:rsidRDefault="00B72229" w:rsidP="00B72229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after="120"/>
        <w:ind w:left="-142"/>
        <w:jc w:val="both"/>
        <w:rPr>
          <w:rStyle w:val="FontStyle13"/>
          <w:rFonts w:eastAsia="Calibri"/>
          <w:lang w:val="uk-UA" w:eastAsia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 xml:space="preserve"> </w:t>
      </w:r>
      <w:r w:rsidR="008A70AD">
        <w:rPr>
          <w:rFonts w:ascii="Times New Roman" w:eastAsia="Times New Roman" w:hAnsi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/>
          <w:b/>
          <w:sz w:val="24"/>
          <w:lang w:val="uk-UA"/>
        </w:rPr>
        <w:t>6</w:t>
      </w:r>
      <w:r w:rsidR="0095035A" w:rsidRPr="009D2B46">
        <w:rPr>
          <w:rFonts w:ascii="Times New Roman" w:eastAsia="Times New Roman" w:hAnsi="Times New Roman"/>
          <w:b/>
          <w:sz w:val="24"/>
          <w:lang w:val="uk-UA"/>
        </w:rPr>
        <w:t>.</w:t>
      </w:r>
      <w:r w:rsidR="00943638">
        <w:rPr>
          <w:rFonts w:ascii="Times New Roman" w:eastAsia="Times New Roman" w:hAnsi="Times New Roman"/>
          <w:b/>
          <w:sz w:val="24"/>
          <w:lang w:val="uk-UA"/>
        </w:rPr>
        <w:t>1</w:t>
      </w:r>
      <w:r w:rsidR="00B30280">
        <w:rPr>
          <w:rFonts w:ascii="Times New Roman" w:eastAsia="Times New Roman" w:hAnsi="Times New Roman"/>
          <w:b/>
          <w:sz w:val="24"/>
          <w:lang w:val="uk-UA"/>
        </w:rPr>
        <w:t>1</w:t>
      </w:r>
      <w:r>
        <w:rPr>
          <w:rFonts w:ascii="Times New Roman" w:eastAsia="Times New Roman" w:hAnsi="Times New Roman"/>
          <w:b/>
          <w:sz w:val="24"/>
          <w:lang w:val="uk-UA"/>
        </w:rPr>
        <w:t>.2025</w:t>
      </w:r>
      <w:r w:rsidR="0095035A"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3D0F0D">
        <w:rPr>
          <w:rFonts w:ascii="Times New Roman" w:eastAsia="Times New Roman" w:hAnsi="Times New Roman"/>
          <w:b/>
          <w:sz w:val="24"/>
          <w:lang w:val="uk-UA"/>
        </w:rPr>
        <w:tab/>
      </w:r>
      <w:r w:rsidR="0095035A" w:rsidRPr="003D0F0D">
        <w:rPr>
          <w:rFonts w:ascii="Times New Roman" w:eastAsia="Times New Roman" w:hAnsi="Times New Roman"/>
          <w:b/>
          <w:sz w:val="24"/>
          <w:lang w:val="uk-UA"/>
        </w:rPr>
        <w:tab/>
        <w:t xml:space="preserve">  Ромни</w:t>
      </w:r>
    </w:p>
    <w:tbl>
      <w:tblPr>
        <w:tblW w:w="54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7"/>
      </w:tblGrid>
      <w:tr w:rsidR="00793C1C" w:rsidRPr="00793C1C" w:rsidTr="00922E41">
        <w:trPr>
          <w:trHeight w:val="892"/>
        </w:trPr>
        <w:tc>
          <w:tcPr>
            <w:tcW w:w="5457" w:type="dxa"/>
            <w:hideMark/>
          </w:tcPr>
          <w:p w:rsidR="00B30280" w:rsidRPr="00793C1C" w:rsidRDefault="00F15A4B" w:rsidP="000E1939">
            <w:pPr>
              <w:spacing w:after="0"/>
              <w:ind w:left="-75"/>
              <w:jc w:val="both"/>
              <w:rPr>
                <w:b/>
                <w:bCs/>
                <w:szCs w:val="24"/>
                <w:lang w:val="uk-UA"/>
              </w:rPr>
            </w:pPr>
            <w:r w:rsidRPr="00793C1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6B445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затвердження П</w:t>
            </w:r>
            <w:proofErr w:type="spellStart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рограми</w:t>
            </w:r>
            <w:proofErr w:type="spellEnd"/>
            <w:r w:rsidR="00793C1C" w:rsidRPr="00793C1C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обороноздатності </w:t>
            </w:r>
            <w:r w:rsidR="00697FF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та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безпеки держави у період дії воєнного стану</w:t>
            </w:r>
            <w:r w:rsidR="00B72229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на 2026</w:t>
            </w:r>
            <w:r w:rsidR="006B4454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рік</w:t>
            </w:r>
            <w:r w:rsidR="00F15652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 </w:t>
            </w:r>
          </w:p>
        </w:tc>
      </w:tr>
    </w:tbl>
    <w:p w:rsidR="00687DF8" w:rsidRPr="002134C7" w:rsidRDefault="00810B9F" w:rsidP="006C12B4">
      <w:pPr>
        <w:spacing w:before="120"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82049E">
        <w:rPr>
          <w:rFonts w:ascii="Times New Roman" w:hAnsi="Times New Roman"/>
          <w:sz w:val="24"/>
          <w:szCs w:val="24"/>
          <w:lang w:val="uk-UA"/>
        </w:rPr>
        <w:t xml:space="preserve">Відповідно </w:t>
      </w:r>
      <w:r w:rsidR="0015180D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6B4454" w:rsidRPr="006B4454">
        <w:rPr>
          <w:rFonts w:ascii="Times New Roman" w:hAnsi="Times New Roman"/>
          <w:sz w:val="24"/>
          <w:szCs w:val="24"/>
          <w:lang w:val="uk-UA"/>
        </w:rPr>
        <w:t xml:space="preserve">пункту </w:t>
      </w:r>
      <w:r w:rsidR="006B4454">
        <w:rPr>
          <w:rFonts w:ascii="Times New Roman" w:hAnsi="Times New Roman"/>
          <w:sz w:val="24"/>
          <w:szCs w:val="24"/>
          <w:lang w:val="uk-UA"/>
        </w:rPr>
        <w:t>22 частини 1 статті 26,</w:t>
      </w:r>
      <w:r w:rsidRPr="008204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B4454">
        <w:rPr>
          <w:rFonts w:ascii="Times New Roman" w:hAnsi="Times New Roman"/>
          <w:sz w:val="24"/>
          <w:szCs w:val="24"/>
          <w:lang w:val="uk-UA"/>
        </w:rPr>
        <w:t xml:space="preserve">пункту 1 статті </w:t>
      </w:r>
      <w:r w:rsidR="0082049E" w:rsidRPr="0082049E">
        <w:rPr>
          <w:rFonts w:ascii="Times New Roman" w:hAnsi="Times New Roman"/>
          <w:sz w:val="24"/>
          <w:szCs w:val="24"/>
          <w:lang w:val="uk-UA"/>
        </w:rPr>
        <w:t xml:space="preserve">59 </w:t>
      </w:r>
      <w:r w:rsidRPr="002134C7">
        <w:rPr>
          <w:rFonts w:ascii="Times New Roman" w:hAnsi="Times New Roman"/>
          <w:sz w:val="24"/>
          <w:szCs w:val="24"/>
          <w:lang w:val="uk-UA"/>
        </w:rPr>
        <w:t xml:space="preserve">Закону України «Про місцеве самоврядування в Україні», </w:t>
      </w:r>
      <w:r w:rsidR="00687DF8" w:rsidRPr="002134C7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Законів України «Про оборону України», «Про мобілізаційну підготовку та мобілізацію», </w:t>
      </w:r>
      <w:r w:rsidR="00687DF8" w:rsidRPr="002134C7">
        <w:rPr>
          <w:rFonts w:ascii="Times New Roman" w:hAnsi="Times New Roman"/>
          <w:sz w:val="24"/>
          <w:szCs w:val="24"/>
          <w:lang w:val="uk-UA"/>
        </w:rPr>
        <w:t>«Про основи національного спротиву»</w:t>
      </w:r>
      <w:r w:rsidR="00FC0B04">
        <w:rPr>
          <w:rFonts w:ascii="Times New Roman" w:hAnsi="Times New Roman"/>
          <w:sz w:val="24"/>
          <w:szCs w:val="24"/>
          <w:lang w:val="uk-UA"/>
        </w:rPr>
        <w:t>, Зак</w:t>
      </w:r>
      <w:r w:rsidR="00D212A0">
        <w:rPr>
          <w:rFonts w:ascii="Times New Roman" w:hAnsi="Times New Roman"/>
          <w:sz w:val="24"/>
          <w:szCs w:val="24"/>
          <w:lang w:val="uk-UA"/>
        </w:rPr>
        <w:t>ону України «Про публічні заку</w:t>
      </w:r>
      <w:r w:rsidR="00430256">
        <w:rPr>
          <w:rFonts w:ascii="Times New Roman" w:hAnsi="Times New Roman"/>
          <w:sz w:val="24"/>
          <w:szCs w:val="24"/>
          <w:lang w:val="uk-UA"/>
        </w:rPr>
        <w:t>пі</w:t>
      </w:r>
      <w:r w:rsidR="00D212A0">
        <w:rPr>
          <w:rFonts w:ascii="Times New Roman" w:hAnsi="Times New Roman"/>
          <w:sz w:val="24"/>
          <w:szCs w:val="24"/>
          <w:lang w:val="uk-UA"/>
        </w:rPr>
        <w:t>в</w:t>
      </w:r>
      <w:r w:rsidR="00FC0B04">
        <w:rPr>
          <w:rFonts w:ascii="Times New Roman" w:hAnsi="Times New Roman"/>
          <w:sz w:val="24"/>
          <w:szCs w:val="24"/>
          <w:lang w:val="uk-UA"/>
        </w:rPr>
        <w:t>лі», постанови К</w:t>
      </w:r>
      <w:r w:rsidR="00921E95">
        <w:rPr>
          <w:rFonts w:ascii="Times New Roman" w:hAnsi="Times New Roman"/>
          <w:sz w:val="24"/>
          <w:szCs w:val="24"/>
          <w:lang w:val="uk-UA"/>
        </w:rPr>
        <w:t>абінету</w:t>
      </w:r>
      <w:r w:rsidR="00921E95" w:rsidRPr="001B08E9">
        <w:rPr>
          <w:rFonts w:ascii="Times New Roman" w:hAnsi="Times New Roman"/>
          <w:sz w:val="24"/>
          <w:szCs w:val="24"/>
        </w:rPr>
        <w:t xml:space="preserve"> </w:t>
      </w:r>
      <w:r w:rsidR="00FC0B04">
        <w:rPr>
          <w:rFonts w:ascii="Times New Roman" w:hAnsi="Times New Roman"/>
          <w:sz w:val="24"/>
          <w:szCs w:val="24"/>
          <w:lang w:val="uk-UA"/>
        </w:rPr>
        <w:t>М</w:t>
      </w:r>
      <w:r w:rsidR="00921E95">
        <w:rPr>
          <w:rFonts w:ascii="Times New Roman" w:hAnsi="Times New Roman"/>
          <w:sz w:val="24"/>
          <w:szCs w:val="24"/>
          <w:lang w:val="uk-UA"/>
        </w:rPr>
        <w:t xml:space="preserve">іністрів </w:t>
      </w:r>
      <w:r w:rsidR="00FC0B04">
        <w:rPr>
          <w:rFonts w:ascii="Times New Roman" w:hAnsi="Times New Roman"/>
          <w:sz w:val="24"/>
          <w:szCs w:val="24"/>
          <w:lang w:val="uk-UA"/>
        </w:rPr>
        <w:t>У</w:t>
      </w:r>
      <w:r w:rsidR="00921E95">
        <w:rPr>
          <w:rFonts w:ascii="Times New Roman" w:hAnsi="Times New Roman"/>
          <w:sz w:val="24"/>
          <w:szCs w:val="24"/>
          <w:lang w:val="uk-UA"/>
        </w:rPr>
        <w:t>країни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від 12.10.2022 </w:t>
      </w:r>
      <w:r w:rsidR="00921E95">
        <w:rPr>
          <w:rFonts w:ascii="Times New Roman" w:hAnsi="Times New Roman"/>
          <w:sz w:val="24"/>
          <w:szCs w:val="24"/>
          <w:lang w:val="uk-UA"/>
        </w:rPr>
        <w:t>№ 1178</w:t>
      </w:r>
      <w:r w:rsidR="00FC0B04">
        <w:rPr>
          <w:rFonts w:ascii="Times New Roman" w:hAnsi="Times New Roman"/>
          <w:sz w:val="24"/>
          <w:szCs w:val="24"/>
          <w:lang w:val="uk-UA"/>
        </w:rPr>
        <w:t xml:space="preserve"> (зі змінами)</w:t>
      </w:r>
    </w:p>
    <w:p w:rsidR="00810B9F" w:rsidRPr="00810B9F" w:rsidRDefault="00810B9F" w:rsidP="00687DF8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810B9F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B30280" w:rsidRPr="00BA2177" w:rsidRDefault="0096319F" w:rsidP="007B18CA">
      <w:pPr>
        <w:pStyle w:val="ac"/>
        <w:numPr>
          <w:ilvl w:val="0"/>
          <w:numId w:val="11"/>
        </w:numPr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Програму</w:t>
      </w:r>
      <w:r w:rsidR="005C24F4" w:rsidRPr="00BA21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30280" w:rsidRPr="00BA21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обороноздатності </w:t>
      </w:r>
      <w:r w:rsidR="00697FFB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та</w:t>
      </w:r>
      <w:r w:rsidR="00B30280" w:rsidRPr="00BA217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безпеки держави у період дії воєнного стану</w:t>
      </w:r>
      <w:r w:rsidR="00B72229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на 2026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 xml:space="preserve"> рік (додається)</w:t>
      </w:r>
      <w:r w:rsidR="00450820" w:rsidRPr="00BA2177">
        <w:rPr>
          <w:rFonts w:ascii="Times New Roman" w:hAnsi="Times New Roman"/>
          <w:sz w:val="24"/>
          <w:szCs w:val="24"/>
          <w:lang w:val="uk-UA"/>
        </w:rPr>
        <w:t>.</w:t>
      </w:r>
    </w:p>
    <w:p w:rsidR="0096319F" w:rsidRPr="00822562" w:rsidRDefault="0096319F" w:rsidP="0096319F">
      <w:pPr>
        <w:pStyle w:val="a8"/>
        <w:widowControl/>
        <w:numPr>
          <w:ilvl w:val="0"/>
          <w:numId w:val="11"/>
        </w:numPr>
        <w:autoSpaceDE/>
        <w:autoSpaceDN/>
        <w:adjustRightInd/>
        <w:spacing w:line="276" w:lineRule="auto"/>
        <w:ind w:left="0" w:firstLine="567"/>
        <w:jc w:val="both"/>
        <w:rPr>
          <w:sz w:val="24"/>
          <w:szCs w:val="24"/>
        </w:rPr>
      </w:pPr>
      <w:r w:rsidRPr="00FC558A">
        <w:rPr>
          <w:sz w:val="24"/>
          <w:szCs w:val="24"/>
          <w:lang w:val="uk-UA"/>
        </w:rPr>
        <w:t xml:space="preserve">Внести зміни в Програму економічного та соціального розвитку </w:t>
      </w:r>
      <w:r w:rsidRPr="00532B84">
        <w:rPr>
          <w:sz w:val="24"/>
          <w:szCs w:val="24"/>
          <w:lang w:val="uk-UA"/>
        </w:rPr>
        <w:t>Роменської міської територіальної громади</w:t>
      </w:r>
      <w:r w:rsidRPr="00FC558A">
        <w:rPr>
          <w:sz w:val="24"/>
          <w:szCs w:val="24"/>
          <w:lang w:val="uk-UA"/>
        </w:rPr>
        <w:t xml:space="preserve"> на 20</w:t>
      </w:r>
      <w:r>
        <w:rPr>
          <w:sz w:val="24"/>
          <w:szCs w:val="24"/>
          <w:lang w:val="uk-UA"/>
        </w:rPr>
        <w:t>2</w:t>
      </w:r>
      <w:r w:rsidR="00B72229">
        <w:rPr>
          <w:sz w:val="24"/>
          <w:szCs w:val="24"/>
          <w:lang w:val="uk-UA"/>
        </w:rPr>
        <w:t>6</w:t>
      </w:r>
      <w:r w:rsidR="004C3AB7">
        <w:rPr>
          <w:sz w:val="24"/>
          <w:szCs w:val="24"/>
          <w:lang w:val="uk-UA"/>
        </w:rPr>
        <w:t xml:space="preserve"> рік, додавши цю</w:t>
      </w:r>
      <w:r w:rsidRPr="00FC558A">
        <w:rPr>
          <w:sz w:val="24"/>
          <w:szCs w:val="24"/>
          <w:lang w:val="uk-UA"/>
        </w:rPr>
        <w:t xml:space="preserve"> Програму в перелік програм по галузям, які буд</w:t>
      </w:r>
      <w:r w:rsidR="00B72229">
        <w:rPr>
          <w:sz w:val="24"/>
          <w:szCs w:val="24"/>
          <w:lang w:val="uk-UA"/>
        </w:rPr>
        <w:t>уть реаліз</w:t>
      </w:r>
      <w:r w:rsidR="00697FFB">
        <w:rPr>
          <w:sz w:val="24"/>
          <w:szCs w:val="24"/>
          <w:lang w:val="uk-UA"/>
        </w:rPr>
        <w:t>ову</w:t>
      </w:r>
      <w:bookmarkStart w:id="0" w:name="_GoBack"/>
      <w:bookmarkEnd w:id="0"/>
      <w:r w:rsidR="00B72229">
        <w:rPr>
          <w:sz w:val="24"/>
          <w:szCs w:val="24"/>
          <w:lang w:val="uk-UA"/>
        </w:rPr>
        <w:t>ватись у 2026</w:t>
      </w:r>
      <w:r w:rsidRPr="00FC558A">
        <w:rPr>
          <w:sz w:val="24"/>
          <w:szCs w:val="24"/>
          <w:lang w:val="uk-UA"/>
        </w:rPr>
        <w:t xml:space="preserve"> році.</w:t>
      </w:r>
    </w:p>
    <w:p w:rsidR="0004408F" w:rsidRPr="001F3AF0" w:rsidRDefault="005C24F4" w:rsidP="00710978">
      <w:pPr>
        <w:pStyle w:val="ac"/>
        <w:numPr>
          <w:ilvl w:val="0"/>
          <w:numId w:val="11"/>
        </w:numPr>
        <w:spacing w:after="12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1F3AF0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810B9F" w:rsidRPr="001F3AF0">
        <w:rPr>
          <w:rFonts w:ascii="Times New Roman" w:hAnsi="Times New Roman"/>
          <w:sz w:val="24"/>
          <w:szCs w:val="24"/>
          <w:lang w:val="uk-UA"/>
        </w:rPr>
        <w:t xml:space="preserve">постійну комісію </w:t>
      </w:r>
      <w:r w:rsidR="00EF0571" w:rsidRPr="001F3AF0">
        <w:rPr>
          <w:rFonts w:ascii="Times New Roman" w:hAnsi="Times New Roman"/>
          <w:sz w:val="24"/>
          <w:szCs w:val="24"/>
          <w:lang w:val="uk-UA"/>
        </w:rPr>
        <w:t>з питань регламенту, законності, інформаційного простору</w:t>
      </w:r>
      <w:r w:rsidR="00766435" w:rsidRPr="001F3AF0">
        <w:rPr>
          <w:rFonts w:ascii="Times New Roman" w:hAnsi="Times New Roman"/>
          <w:sz w:val="24"/>
          <w:szCs w:val="24"/>
          <w:lang w:val="uk-UA"/>
        </w:rPr>
        <w:t>, організацію виконання рішення доручити</w:t>
      </w:r>
      <w:r w:rsidR="0004408F" w:rsidRPr="001F3AF0">
        <w:rPr>
          <w:rFonts w:ascii="Times New Roman" w:hAnsi="Times New Roman"/>
          <w:sz w:val="24"/>
          <w:szCs w:val="24"/>
          <w:lang w:val="uk-UA"/>
        </w:rPr>
        <w:t xml:space="preserve"> відділу з питань надзвичайних ситуацій та цивільного захисту населення.</w:t>
      </w:r>
    </w:p>
    <w:p w:rsidR="00792E85" w:rsidRDefault="00792E85" w:rsidP="0004408F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B5F98" w:rsidRDefault="008B5F98" w:rsidP="008B5F98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</w:rPr>
        <w:tab/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8D3E71" w:rsidRDefault="008D3E71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Default="00582E29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6C12B4" w:rsidRDefault="006C12B4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6319F" w:rsidRDefault="0096319F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6319F" w:rsidRDefault="0096319F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6319F" w:rsidRDefault="0096319F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6319F" w:rsidRDefault="0096319F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6319F" w:rsidRDefault="0096319F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96319F" w:rsidRDefault="0096319F" w:rsidP="007528C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Pr="00F216D0" w:rsidRDefault="00582E29" w:rsidP="00582E29">
      <w:pPr>
        <w:spacing w:line="240" w:lineRule="auto"/>
        <w:ind w:left="6663"/>
        <w:contextualSpacing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lastRenderedPageBreak/>
        <w:t xml:space="preserve">Додаток  </w:t>
      </w:r>
    </w:p>
    <w:p w:rsidR="00582E29" w:rsidRPr="00F216D0" w:rsidRDefault="00582E29" w:rsidP="00582E29">
      <w:pPr>
        <w:spacing w:line="240" w:lineRule="auto"/>
        <w:ind w:left="6662"/>
        <w:contextualSpacing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до рішення міської ради</w:t>
      </w:r>
    </w:p>
    <w:p w:rsidR="00582E29" w:rsidRPr="00F216D0" w:rsidRDefault="00582E29" w:rsidP="00582E29">
      <w:pPr>
        <w:spacing w:line="240" w:lineRule="auto"/>
        <w:ind w:left="6662"/>
        <w:contextualSpacing/>
        <w:rPr>
          <w:rFonts w:ascii="Times New Roman" w:hAnsi="Times New Roman"/>
          <w:b/>
          <w:sz w:val="24"/>
          <w:szCs w:val="24"/>
          <w:lang w:val="uk-UA" w:eastAsia="en-US"/>
        </w:rPr>
      </w:pP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 xml:space="preserve">від 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2</w:t>
      </w:r>
      <w:r w:rsidR="00B72229">
        <w:rPr>
          <w:rFonts w:ascii="Times New Roman" w:hAnsi="Times New Roman"/>
          <w:b/>
          <w:sz w:val="24"/>
          <w:szCs w:val="24"/>
          <w:lang w:val="uk-UA" w:eastAsia="en-US"/>
        </w:rPr>
        <w:t>6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.</w:t>
      </w:r>
      <w:r>
        <w:rPr>
          <w:rFonts w:ascii="Times New Roman" w:hAnsi="Times New Roman"/>
          <w:b/>
          <w:sz w:val="24"/>
          <w:szCs w:val="24"/>
          <w:lang w:val="uk-UA" w:eastAsia="en-US"/>
        </w:rPr>
        <w:t>11</w:t>
      </w:r>
      <w:r w:rsidRPr="00F216D0">
        <w:rPr>
          <w:rFonts w:ascii="Times New Roman" w:hAnsi="Times New Roman"/>
          <w:b/>
          <w:sz w:val="24"/>
          <w:szCs w:val="24"/>
          <w:lang w:val="uk-UA" w:eastAsia="en-US"/>
        </w:rPr>
        <w:t>.202</w:t>
      </w:r>
      <w:r w:rsidR="00B72229">
        <w:rPr>
          <w:rFonts w:ascii="Times New Roman" w:hAnsi="Times New Roman"/>
          <w:b/>
          <w:sz w:val="24"/>
          <w:szCs w:val="24"/>
          <w:lang w:val="uk-UA" w:eastAsia="en-US"/>
        </w:rPr>
        <w:t>5</w:t>
      </w:r>
    </w:p>
    <w:p w:rsidR="00582E29" w:rsidRPr="0088147E" w:rsidRDefault="00582E29" w:rsidP="00582E29">
      <w:pPr>
        <w:tabs>
          <w:tab w:val="left" w:pos="7125"/>
        </w:tabs>
        <w:contextualSpacing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582E29" w:rsidRPr="0088147E" w:rsidRDefault="00582E29" w:rsidP="00582E29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F033A" w:rsidRPr="00FF033A" w:rsidRDefault="00FF033A" w:rsidP="00582E29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F033A">
        <w:rPr>
          <w:rFonts w:ascii="Times New Roman" w:hAnsi="Times New Roman"/>
          <w:b/>
          <w:sz w:val="24"/>
          <w:szCs w:val="24"/>
          <w:lang w:val="uk-UA"/>
        </w:rPr>
        <w:t>ПРОГРАМ</w:t>
      </w:r>
      <w:r>
        <w:rPr>
          <w:rFonts w:ascii="Times New Roman" w:hAnsi="Times New Roman"/>
          <w:b/>
          <w:sz w:val="24"/>
          <w:szCs w:val="24"/>
          <w:lang w:val="uk-UA"/>
        </w:rPr>
        <w:t>А</w:t>
      </w:r>
      <w:r w:rsidRPr="00FF033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FF033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</w:t>
      </w:r>
      <w:r w:rsidR="00B7222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ЕРІОД ДІЇ ВОЄННОГО СТАНУ НА 2026</w:t>
      </w:r>
      <w:r w:rsidRPr="00FF033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</w:p>
    <w:p w:rsidR="00FF033A" w:rsidRDefault="00FF033A" w:rsidP="00582E29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82E29" w:rsidRPr="0088147E" w:rsidRDefault="00582E29" w:rsidP="00582E29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8147E">
        <w:rPr>
          <w:rFonts w:ascii="Times New Roman" w:hAnsi="Times New Roman"/>
          <w:b/>
          <w:sz w:val="24"/>
          <w:szCs w:val="24"/>
          <w:lang w:val="uk-UA"/>
        </w:rPr>
        <w:t xml:space="preserve">ПАСПОРТ ПРОГРАМИ </w:t>
      </w:r>
    </w:p>
    <w:p w:rsidR="00223221" w:rsidRDefault="00582E29" w:rsidP="00582E29">
      <w:pPr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 </w:t>
      </w:r>
      <w:r w:rsidR="00B7222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на 2026</w:t>
      </w:r>
      <w:r w:rsidR="00FF033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 w:rsidR="004C3AB7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p w:rsidR="004C3AB7" w:rsidRPr="004C3AB7" w:rsidRDefault="004C3AB7" w:rsidP="00582E29">
      <w:pPr>
        <w:contextualSpacing/>
        <w:jc w:val="center"/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</w:pPr>
      <w:r w:rsidRPr="004C3AB7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(далі по тексту – Програма)</w:t>
      </w:r>
    </w:p>
    <w:p w:rsidR="00582E29" w:rsidRPr="00766435" w:rsidRDefault="00582E29" w:rsidP="00582E29">
      <w:pPr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252"/>
        <w:gridCol w:w="5103"/>
      </w:tblGrid>
      <w:tr w:rsidR="00582E29" w:rsidRPr="00FA2487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  <w:r w:rsidRPr="00FA2487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</w:p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582E29" w:rsidRPr="00A478E4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A478E4" w:rsidRDefault="00582E29" w:rsidP="0053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78E4">
              <w:rPr>
                <w:rFonts w:ascii="Times New Roman" w:hAnsi="Times New Roman"/>
                <w:sz w:val="24"/>
                <w:szCs w:val="24"/>
                <w:lang w:val="uk-UA"/>
              </w:rPr>
              <w:t>Назва розпорядчого документу органу виконавчої влади про розробку програми, дата, номер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687DF8" w:rsidRDefault="00582E29" w:rsidP="0053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87DF8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Конституція України, Закон України «Про місцеве самоврядування в Україні», Закон України «Про оборону України», Закон України «Про мобілізаційну підготовку та мобілізацію»,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Закон</w:t>
            </w:r>
            <w:r w:rsidRPr="00687DF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України «Про основи національного спротиву»</w:t>
            </w:r>
          </w:p>
        </w:tc>
      </w:tr>
      <w:tr w:rsidR="00582E29" w:rsidRPr="00FA2487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582E29" w:rsidRPr="00B72229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Співрозробники</w:t>
            </w:r>
            <w:proofErr w:type="spellEnd"/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04408F" w:rsidRDefault="00582E29" w:rsidP="007B18C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Структурні підрозділи Роменської міської ради та її Виконавчого комітету</w:t>
            </w:r>
          </w:p>
        </w:tc>
      </w:tr>
      <w:tr w:rsidR="00582E29" w:rsidRPr="00FA2487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248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з питань надзвичайних ситуацій та  цивільного захисту населення</w:t>
            </w:r>
          </w:p>
        </w:tc>
      </w:tr>
      <w:tr w:rsidR="00582E29" w:rsidRPr="00FA2487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88147E" w:rsidRDefault="00582E29" w:rsidP="0053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надзвичайних ситуацій та цивільного захисту населення</w:t>
            </w:r>
          </w:p>
          <w:p w:rsidR="00582E29" w:rsidRPr="0088147E" w:rsidRDefault="00582E29" w:rsidP="0053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</w:t>
            </w:r>
          </w:p>
          <w:p w:rsidR="00582E29" w:rsidRPr="0088147E" w:rsidRDefault="00582E29" w:rsidP="005347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районний відділ поліції ГУНП в Сумській області</w:t>
            </w:r>
          </w:p>
          <w:p w:rsidR="00582E29" w:rsidRPr="008B5F98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РТЦК та СП</w:t>
            </w:r>
          </w:p>
        </w:tc>
      </w:tr>
      <w:tr w:rsidR="00582E29" w:rsidRPr="00FA2487" w:rsidTr="005347EB">
        <w:tc>
          <w:tcPr>
            <w:tcW w:w="534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82E29" w:rsidRPr="00FA2487" w:rsidRDefault="00582E29" w:rsidP="007B18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Період воєнного стану</w:t>
            </w:r>
          </w:p>
        </w:tc>
      </w:tr>
      <w:tr w:rsidR="00582E29" w:rsidRPr="00FA2487" w:rsidTr="005347EB">
        <w:trPr>
          <w:trHeight w:val="706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бюджету Роменської </w:t>
            </w:r>
            <w:r w:rsidRPr="00881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територіальної громади</w:t>
            </w: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FA24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2E29" w:rsidRPr="00FA2487" w:rsidTr="005347EB">
        <w:trPr>
          <w:trHeight w:val="660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2E29" w:rsidRPr="00FA2487" w:rsidRDefault="00582E29" w:rsidP="00534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7C87" w:rsidRPr="00922E41" w:rsidRDefault="00582E29" w:rsidP="006D2A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5F98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6D2A0E" w:rsidRPr="006D2A0E">
              <w:rPr>
                <w:rFonts w:ascii="Times New Roman" w:hAnsi="Times New Roman"/>
                <w:sz w:val="24"/>
                <w:szCs w:val="24"/>
                <w:lang w:val="uk-UA"/>
              </w:rPr>
              <w:t>7398,01 тис. грн – 2026</w:t>
            </w:r>
            <w:r w:rsidR="00BA2177" w:rsidRPr="006D2A0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</w:tr>
    </w:tbl>
    <w:p w:rsidR="00582E29" w:rsidRDefault="00582E29" w:rsidP="00582E29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495B" w:rsidRPr="00BE19F9" w:rsidRDefault="005A495B" w:rsidP="005A495B">
      <w:pPr>
        <w:pStyle w:val="aa"/>
        <w:spacing w:before="0" w:beforeAutospacing="0" w:after="0" w:afterAutospacing="0" w:line="360" w:lineRule="auto"/>
        <w:jc w:val="center"/>
        <w:rPr>
          <w:rStyle w:val="ab"/>
          <w:lang w:val="uk-UA"/>
        </w:rPr>
      </w:pPr>
      <w:r w:rsidRPr="00BE19F9">
        <w:rPr>
          <w:b/>
          <w:lang w:val="uk-UA"/>
        </w:rPr>
        <w:t xml:space="preserve">1. </w:t>
      </w:r>
      <w:r w:rsidRPr="00BE19F9">
        <w:rPr>
          <w:rStyle w:val="ab"/>
          <w:lang w:val="uk-UA"/>
        </w:rPr>
        <w:t xml:space="preserve">Визначення проблеми, на розв’язання якої </w:t>
      </w:r>
      <w:r w:rsidR="00FF033A">
        <w:rPr>
          <w:rStyle w:val="ab"/>
          <w:lang w:val="uk-UA"/>
        </w:rPr>
        <w:t>спрямована П</w:t>
      </w:r>
      <w:r w:rsidRPr="00BE19F9">
        <w:rPr>
          <w:rStyle w:val="ab"/>
          <w:lang w:val="uk-UA"/>
        </w:rPr>
        <w:t>рограма</w:t>
      </w:r>
    </w:p>
    <w:p w:rsidR="005A495B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Конституція України встановлює, що оборона України, захист її суверенітету, територіальної цілісності і недоторканності, забезпечення економічної та інформаційної безпеки є найважливішими функціями держави, Збройних Сил України, справою всього народу. 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lastRenderedPageBreak/>
        <w:t xml:space="preserve">Закон України «Про оборону України» встановлює засади оборони нашої держави, а також повноваження органів державної влади, основні функції та завдання органів військового управління, місцевих державних адміністрацій, органів місцевого самоврядування, обов’язки підприємств, установ, організацій, посадових осіб, права та обов’язки громадян України у сфері оборони. </w:t>
      </w:r>
    </w:p>
    <w:p w:rsidR="005A495B" w:rsidRPr="00BE19F9" w:rsidRDefault="005A495B" w:rsidP="005A495B">
      <w:pPr>
        <w:spacing w:after="120"/>
        <w:ind w:firstLine="425"/>
        <w:jc w:val="both"/>
        <w:rPr>
          <w:rStyle w:val="ab"/>
          <w:rFonts w:ascii="Times New Roman" w:hAnsi="Times New Roman"/>
          <w:b w:val="0"/>
          <w:sz w:val="24"/>
          <w:szCs w:val="24"/>
          <w:lang w:val="uk-UA"/>
        </w:rPr>
      </w:pPr>
      <w:r w:rsidRPr="00BE19F9">
        <w:rPr>
          <w:rStyle w:val="ab"/>
          <w:rFonts w:ascii="Times New Roman" w:hAnsi="Times New Roman"/>
          <w:b w:val="0"/>
          <w:sz w:val="24"/>
          <w:szCs w:val="24"/>
          <w:lang w:val="uk-UA"/>
        </w:rPr>
        <w:t>На сьогодні існують проблеми, які потребують невідкладного розв’язання: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низький рівень матеріального та фінансового забезпечення спільної роботи органів виконавчої влади, органів місцевого самоврядування, </w:t>
      </w:r>
      <w:r>
        <w:rPr>
          <w:rFonts w:ascii="Times New Roman" w:hAnsi="Times New Roman"/>
          <w:sz w:val="24"/>
          <w:szCs w:val="24"/>
          <w:lang w:val="uk-UA"/>
        </w:rPr>
        <w:t>районного територіальної центру комплектування та соціальної підтримки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 щодо забезпечення роботи призовної дільниці та мобілізаційної підготовки місцевого значення;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оголошення та проведення мобілізації;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неготовність населення і території </w:t>
      </w:r>
      <w:r>
        <w:rPr>
          <w:rFonts w:ascii="Times New Roman" w:hAnsi="Times New Roman"/>
          <w:sz w:val="24"/>
          <w:szCs w:val="24"/>
          <w:lang w:val="uk-UA"/>
        </w:rPr>
        <w:t xml:space="preserve">громади 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для участі в обороні та вирішені комплексу завдань щодо підготовки до збройного захисту </w:t>
      </w:r>
      <w:r>
        <w:rPr>
          <w:rFonts w:ascii="Times New Roman" w:hAnsi="Times New Roman"/>
          <w:sz w:val="24"/>
          <w:szCs w:val="24"/>
          <w:lang w:val="uk-UA"/>
        </w:rPr>
        <w:t>від збройної агресії</w:t>
      </w:r>
      <w:r w:rsidRPr="00BE19F9">
        <w:rPr>
          <w:rFonts w:ascii="Times New Roman" w:hAnsi="Times New Roman"/>
          <w:sz w:val="24"/>
          <w:szCs w:val="24"/>
          <w:lang w:val="uk-UA"/>
        </w:rPr>
        <w:t>;</w:t>
      </w:r>
    </w:p>
    <w:p w:rsidR="005A495B" w:rsidRPr="002C190C" w:rsidRDefault="005A495B" w:rsidP="005A495B">
      <w:pPr>
        <w:spacing w:after="120"/>
        <w:ind w:firstLine="425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 w:rsidRPr="00BE19F9">
        <w:rPr>
          <w:rFonts w:ascii="Times New Roman" w:hAnsi="Times New Roman"/>
          <w:spacing w:val="7"/>
          <w:sz w:val="24"/>
          <w:szCs w:val="24"/>
          <w:lang w:val="uk-UA"/>
        </w:rPr>
        <w:t>недостатній рівень обізнаності населення про переваги військової служби в Збройних Силах України та інших військових формуваннях</w:t>
      </w:r>
      <w:r w:rsidRPr="002C190C">
        <w:rPr>
          <w:rFonts w:ascii="Times New Roman" w:hAnsi="Times New Roman"/>
          <w:sz w:val="24"/>
          <w:szCs w:val="24"/>
          <w:lang w:val="uk-UA"/>
        </w:rPr>
        <w:t>.</w:t>
      </w:r>
    </w:p>
    <w:p w:rsidR="005A495B" w:rsidRPr="00BE19F9" w:rsidRDefault="005A495B" w:rsidP="005A495B">
      <w:pPr>
        <w:spacing w:line="240" w:lineRule="auto"/>
        <w:jc w:val="both"/>
        <w:rPr>
          <w:rFonts w:ascii="Times New Roman" w:hAnsi="Times New Roman"/>
          <w:sz w:val="24"/>
          <w:szCs w:val="24"/>
          <w:highlight w:val="green"/>
          <w:lang w:val="uk-UA"/>
        </w:rPr>
      </w:pPr>
    </w:p>
    <w:p w:rsidR="005A495B" w:rsidRPr="00BE19F9" w:rsidRDefault="005A495B" w:rsidP="005A495B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E19F9">
        <w:rPr>
          <w:rFonts w:ascii="Times New Roman" w:hAnsi="Times New Roman"/>
          <w:b/>
          <w:sz w:val="24"/>
          <w:szCs w:val="24"/>
          <w:lang w:val="uk-UA"/>
        </w:rPr>
        <w:t>2. Визначення мети Програми</w:t>
      </w:r>
    </w:p>
    <w:p w:rsidR="005A495B" w:rsidRPr="00793C1C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793C1C">
        <w:rPr>
          <w:rFonts w:ascii="Times New Roman" w:hAnsi="Times New Roman"/>
          <w:sz w:val="24"/>
          <w:szCs w:val="24"/>
          <w:lang w:val="uk-UA"/>
        </w:rPr>
        <w:t>Метою Програми є створення всіх необхідних умов для запобігання воєнному нападу та для збройної відсічі військовій агресії у будь-який час і за будь-яких обставин.</w:t>
      </w:r>
    </w:p>
    <w:p w:rsidR="005A495B" w:rsidRPr="00793C1C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793C1C">
        <w:rPr>
          <w:rFonts w:ascii="Times New Roman" w:hAnsi="Times New Roman"/>
          <w:sz w:val="24"/>
          <w:szCs w:val="24"/>
          <w:lang w:val="uk-UA"/>
        </w:rPr>
        <w:t>Запобігання збройній агресії, зменшення збитків, непоправних втрат у разі її виникнення та ефективна ліквідація наслідків агресії, відповідно до вимог законів України «Про оборону України», «</w:t>
      </w:r>
      <w:r>
        <w:rPr>
          <w:rFonts w:ascii="Times New Roman" w:hAnsi="Times New Roman"/>
          <w:sz w:val="24"/>
          <w:szCs w:val="24"/>
          <w:lang w:val="uk-UA"/>
        </w:rPr>
        <w:t>Про основи національного спротиву</w:t>
      </w:r>
      <w:r w:rsidRPr="00793C1C">
        <w:rPr>
          <w:rFonts w:ascii="Times New Roman" w:hAnsi="Times New Roman"/>
          <w:sz w:val="24"/>
          <w:szCs w:val="24"/>
          <w:lang w:val="uk-UA"/>
        </w:rPr>
        <w:t xml:space="preserve">», «Про військовий обов’язок і військову службу», Указів Президента України, постанов Кабінету Міністрів України є одним з пріоритетів у діяльності органів місцевого самоврядування, органів військового управління. 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Програма покликана вирішити проблеми: 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забезпечення транспортом та палив</w:t>
      </w:r>
      <w:r w:rsidRPr="00BE19F9">
        <w:rPr>
          <w:rFonts w:ascii="Times New Roman" w:hAnsi="Times New Roman"/>
          <w:sz w:val="24"/>
          <w:szCs w:val="24"/>
          <w:lang w:val="uk-UA"/>
        </w:rPr>
        <w:t>о-мастильними матеріалами;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забезпечення здійснення заходів з мобілізації та боєздатності мобілізованих;</w:t>
      </w:r>
    </w:p>
    <w:p w:rsidR="005A495B" w:rsidRDefault="005A495B" w:rsidP="005A495B">
      <w:pPr>
        <w:pStyle w:val="ndfhfb-c4yzdc-cysp0e-darucf-df1zy-eegnhe"/>
        <w:spacing w:before="0" w:beforeAutospacing="0" w:after="120" w:afterAutospacing="0" w:line="276" w:lineRule="auto"/>
        <w:ind w:firstLine="425"/>
        <w:jc w:val="both"/>
        <w:rPr>
          <w:lang w:val="uk-UA"/>
        </w:rPr>
      </w:pPr>
      <w:r w:rsidRPr="00BD4E04">
        <w:rPr>
          <w:lang w:val="uk-UA"/>
        </w:rPr>
        <w:t>закупівл</w:t>
      </w:r>
      <w:r>
        <w:rPr>
          <w:lang w:val="uk-UA"/>
        </w:rPr>
        <w:t>я</w:t>
      </w:r>
      <w:r w:rsidRPr="00BD4E04">
        <w:rPr>
          <w:lang w:val="uk-UA"/>
        </w:rPr>
        <w:t xml:space="preserve"> товарів, робіт і послуг в інтересах військових частин Збройних Сил України, інших військових формувань та </w:t>
      </w:r>
      <w:proofErr w:type="spellStart"/>
      <w:r w:rsidRPr="00BD4E04">
        <w:rPr>
          <w:lang w:val="uk-UA"/>
        </w:rPr>
        <w:t>тероборони</w:t>
      </w:r>
      <w:proofErr w:type="spellEnd"/>
      <w:r w:rsidRPr="00BD4E04">
        <w:rPr>
          <w:lang w:val="uk-UA"/>
        </w:rPr>
        <w:t xml:space="preserve">; </w:t>
      </w:r>
    </w:p>
    <w:p w:rsidR="005A495B" w:rsidRDefault="005A495B" w:rsidP="005A495B">
      <w:pPr>
        <w:pStyle w:val="ndfhfb-c4yzdc-cysp0e-darucf-df1zy-eegnhe"/>
        <w:spacing w:before="0" w:beforeAutospacing="0" w:after="120" w:afterAutospacing="0" w:line="276" w:lineRule="auto"/>
        <w:ind w:firstLine="425"/>
        <w:jc w:val="both"/>
        <w:rPr>
          <w:lang w:val="uk-UA"/>
        </w:rPr>
      </w:pPr>
      <w:r w:rsidRPr="00BD4E04">
        <w:rPr>
          <w:lang w:val="uk-UA"/>
        </w:rPr>
        <w:t>субвенції з місцевого бюджету державному бюджету на перерахування коштів в умовах воєнного стану або для здійснення згідно з законом заходів загальної мобілізації та з метою відсічі збройної агресії російської федерації проти України</w:t>
      </w:r>
      <w:r>
        <w:rPr>
          <w:lang w:val="uk-UA"/>
        </w:rPr>
        <w:t>;</w:t>
      </w:r>
    </w:p>
    <w:p w:rsidR="005A495B" w:rsidRPr="00687DF8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687DF8">
        <w:rPr>
          <w:rFonts w:ascii="Times New Roman" w:hAnsi="Times New Roman"/>
          <w:sz w:val="24"/>
          <w:szCs w:val="24"/>
          <w:lang w:val="uk-UA"/>
        </w:rPr>
        <w:t>забезпечення національної безпеки, усунення загрози небезпеки державній незалежності України, її територіальній цілісності;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своєчасне вжиття попереджувальних заходів з питань обороноздатності </w:t>
      </w:r>
      <w:r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  <w:r w:rsidRPr="00BE19F9">
        <w:rPr>
          <w:rFonts w:ascii="Times New Roman" w:hAnsi="Times New Roman"/>
          <w:sz w:val="24"/>
          <w:szCs w:val="24"/>
          <w:lang w:val="uk-UA"/>
        </w:rPr>
        <w:t>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 w:rsidRPr="00BE19F9">
        <w:rPr>
          <w:rFonts w:ascii="Times New Roman" w:hAnsi="Times New Roman"/>
          <w:spacing w:val="7"/>
          <w:sz w:val="24"/>
          <w:szCs w:val="24"/>
          <w:lang w:val="uk-UA"/>
        </w:rPr>
        <w:t xml:space="preserve">забезпечення здійснення заходів з підготовки до ведення територіальної оборони в </w:t>
      </w:r>
      <w:r>
        <w:rPr>
          <w:rFonts w:ascii="Times New Roman" w:hAnsi="Times New Roman"/>
          <w:spacing w:val="7"/>
          <w:sz w:val="24"/>
          <w:szCs w:val="24"/>
          <w:lang w:val="uk-UA"/>
        </w:rPr>
        <w:t>під час воєнного стану</w:t>
      </w:r>
    </w:p>
    <w:p w:rsidR="005A495B" w:rsidRDefault="005A495B" w:rsidP="005A495B">
      <w:pPr>
        <w:pStyle w:val="ParagraphStyle"/>
        <w:jc w:val="center"/>
        <w:rPr>
          <w:rStyle w:val="ab"/>
          <w:rFonts w:ascii="Times New Roman" w:hAnsi="Times New Roman"/>
          <w:lang w:val="uk-UA"/>
        </w:rPr>
      </w:pPr>
    </w:p>
    <w:p w:rsidR="005A495B" w:rsidRDefault="005A495B" w:rsidP="005A495B">
      <w:pPr>
        <w:pStyle w:val="ParagraphStyle"/>
        <w:jc w:val="center"/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</w:pPr>
      <w:r w:rsidRPr="00BE19F9">
        <w:rPr>
          <w:rStyle w:val="ab"/>
          <w:rFonts w:ascii="Times New Roman" w:hAnsi="Times New Roman"/>
          <w:lang w:val="uk-UA"/>
        </w:rPr>
        <w:t xml:space="preserve">3. </w:t>
      </w:r>
      <w:r w:rsidRPr="00BE19F9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>Обґрунтування шляхів і засобів розв’язання проблеми, обсягів</w:t>
      </w:r>
      <w:r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E19F9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 xml:space="preserve">та джерел фінансування, строки та етапи виконання </w:t>
      </w:r>
      <w:r w:rsidR="004C3AB7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BE19F9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>рограми</w:t>
      </w:r>
    </w:p>
    <w:p w:rsidR="005A495B" w:rsidRPr="00BE19F9" w:rsidRDefault="005A495B" w:rsidP="005A495B">
      <w:pPr>
        <w:pStyle w:val="ParagraphStyle"/>
        <w:jc w:val="center"/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</w:pP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Досягнення мети та розв’язання наявних </w:t>
      </w:r>
      <w:r>
        <w:rPr>
          <w:rFonts w:ascii="Times New Roman" w:hAnsi="Times New Roman"/>
          <w:sz w:val="24"/>
          <w:szCs w:val="24"/>
          <w:lang w:val="uk-UA"/>
        </w:rPr>
        <w:t>у громаді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 проблем передбачено шляхом: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створення умов для реалізації комплексних заходів щодо ефективної співпраці </w:t>
      </w:r>
      <w:r>
        <w:rPr>
          <w:rFonts w:ascii="Times New Roman" w:hAnsi="Times New Roman"/>
          <w:sz w:val="24"/>
          <w:szCs w:val="24"/>
          <w:lang w:val="uk-UA"/>
        </w:rPr>
        <w:t xml:space="preserve">Виконавчого комітету Роменської міської ради 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/>
          <w:sz w:val="24"/>
          <w:szCs w:val="24"/>
          <w:lang w:val="uk-UA"/>
        </w:rPr>
        <w:t>Збройних Сил України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 під час виконання Програми, що регулює питання забезпечення обороноздатності та мобілізаційної підготовки;</w:t>
      </w:r>
    </w:p>
    <w:p w:rsidR="005A495B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залучення до комплектування військ мобілізаційних ресурсів </w:t>
      </w:r>
      <w:r>
        <w:rPr>
          <w:rFonts w:ascii="Times New Roman" w:hAnsi="Times New Roman"/>
          <w:sz w:val="24"/>
          <w:szCs w:val="24"/>
          <w:lang w:val="uk-UA"/>
        </w:rPr>
        <w:t>громади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 в повному обсязі, що дасть змогу якісного комплектування Збройних Сил України та інших військових формувань поповненням під час призовів громадян на строкову військову службу та </w:t>
      </w:r>
      <w:r>
        <w:rPr>
          <w:rFonts w:ascii="Times New Roman" w:hAnsi="Times New Roman"/>
          <w:sz w:val="24"/>
          <w:szCs w:val="24"/>
          <w:lang w:val="uk-UA"/>
        </w:rPr>
        <w:t xml:space="preserve">під час </w:t>
      </w:r>
      <w:r w:rsidRPr="00BE19F9">
        <w:rPr>
          <w:rFonts w:ascii="Times New Roman" w:hAnsi="Times New Roman"/>
          <w:sz w:val="24"/>
          <w:szCs w:val="24"/>
          <w:lang w:val="uk-UA"/>
        </w:rPr>
        <w:t>мобілізації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5A495B" w:rsidRPr="00D57A4B" w:rsidRDefault="005A495B" w:rsidP="005A495B">
      <w:pPr>
        <w:spacing w:after="0" w:line="240" w:lineRule="auto"/>
        <w:ind w:firstLine="53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57A4B">
        <w:rPr>
          <w:rFonts w:ascii="Times New Roman" w:hAnsi="Times New Roman"/>
          <w:b/>
          <w:sz w:val="24"/>
          <w:szCs w:val="24"/>
          <w:lang w:val="uk-UA"/>
        </w:rPr>
        <w:t>Обсяги фінансування заходів Програми</w:t>
      </w:r>
    </w:p>
    <w:tbl>
      <w:tblPr>
        <w:tblpPr w:leftFromText="180" w:rightFromText="180" w:vertAnchor="text" w:horzAnchor="page" w:tblpX="2668" w:tblpY="3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492"/>
        <w:gridCol w:w="1270"/>
        <w:gridCol w:w="1530"/>
      </w:tblGrid>
      <w:tr w:rsidR="005A495B" w:rsidRPr="00BE19F9" w:rsidTr="005A495B">
        <w:trPr>
          <w:trHeight w:val="828"/>
        </w:trPr>
        <w:tc>
          <w:tcPr>
            <w:tcW w:w="590" w:type="dxa"/>
            <w:vMerge w:val="restart"/>
            <w:vAlign w:val="center"/>
          </w:tcPr>
          <w:p w:rsidR="005A495B" w:rsidRPr="00BE19F9" w:rsidRDefault="005A495B" w:rsidP="00243902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>№ з/п</w:t>
            </w:r>
          </w:p>
        </w:tc>
        <w:tc>
          <w:tcPr>
            <w:tcW w:w="3492" w:type="dxa"/>
            <w:vMerge w:val="restart"/>
            <w:shd w:val="clear" w:color="auto" w:fill="auto"/>
            <w:vAlign w:val="center"/>
          </w:tcPr>
          <w:p w:rsidR="005A495B" w:rsidRPr="00BE19F9" w:rsidRDefault="005A495B" w:rsidP="00243902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270" w:type="dxa"/>
            <w:vMerge w:val="restart"/>
            <w:vAlign w:val="center"/>
          </w:tcPr>
          <w:p w:rsidR="005A495B" w:rsidRPr="00BE19F9" w:rsidRDefault="005A495B" w:rsidP="00243902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>Грошова одиниця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495B" w:rsidRPr="00BE19F9" w:rsidRDefault="005A495B" w:rsidP="00243902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 xml:space="preserve">Термін </w:t>
            </w:r>
            <w:r>
              <w:rPr>
                <w:lang w:val="uk-UA"/>
              </w:rPr>
              <w:t>виконання</w:t>
            </w:r>
            <w:r w:rsidRPr="00BE19F9">
              <w:rPr>
                <w:lang w:val="uk-UA"/>
              </w:rPr>
              <w:t xml:space="preserve"> Програми</w:t>
            </w:r>
          </w:p>
        </w:tc>
      </w:tr>
      <w:tr w:rsidR="005A495B" w:rsidRPr="00BE19F9" w:rsidTr="005A495B">
        <w:trPr>
          <w:trHeight w:val="422"/>
        </w:trPr>
        <w:tc>
          <w:tcPr>
            <w:tcW w:w="590" w:type="dxa"/>
            <w:vMerge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both"/>
              <w:rPr>
                <w:highlight w:val="green"/>
                <w:lang w:val="uk-UA"/>
              </w:rPr>
            </w:pPr>
          </w:p>
        </w:tc>
        <w:tc>
          <w:tcPr>
            <w:tcW w:w="3492" w:type="dxa"/>
            <w:vMerge/>
            <w:shd w:val="clear" w:color="auto" w:fill="auto"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both"/>
              <w:rPr>
                <w:highlight w:val="green"/>
                <w:lang w:val="uk-UA"/>
              </w:rPr>
            </w:pPr>
          </w:p>
        </w:tc>
        <w:tc>
          <w:tcPr>
            <w:tcW w:w="1270" w:type="dxa"/>
            <w:vMerge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both"/>
              <w:rPr>
                <w:highlight w:val="green"/>
                <w:lang w:val="uk-UA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5A495B" w:rsidRPr="00BA2177" w:rsidRDefault="00B72229" w:rsidP="005A495B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</w:tr>
      <w:tr w:rsidR="005A495B" w:rsidRPr="00BE19F9" w:rsidTr="00FF033A">
        <w:trPr>
          <w:trHeight w:val="438"/>
        </w:trPr>
        <w:tc>
          <w:tcPr>
            <w:tcW w:w="590" w:type="dxa"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right"/>
              <w:rPr>
                <w:lang w:val="uk-UA"/>
              </w:rPr>
            </w:pPr>
            <w:r w:rsidRPr="00BE19F9">
              <w:rPr>
                <w:lang w:val="uk-UA"/>
              </w:rPr>
              <w:t>1.</w:t>
            </w:r>
          </w:p>
        </w:tc>
        <w:tc>
          <w:tcPr>
            <w:tcW w:w="3492" w:type="dxa"/>
            <w:shd w:val="clear" w:color="auto" w:fill="auto"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BE19F9">
              <w:rPr>
                <w:lang w:val="uk-UA"/>
              </w:rPr>
              <w:t>Обсяг ресурсів усього, в тому числі :</w:t>
            </w:r>
          </w:p>
        </w:tc>
        <w:tc>
          <w:tcPr>
            <w:tcW w:w="1270" w:type="dxa"/>
            <w:vAlign w:val="center"/>
          </w:tcPr>
          <w:p w:rsidR="005A495B" w:rsidRPr="00BE19F9" w:rsidRDefault="005A495B" w:rsidP="00FF033A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>тис грн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495B" w:rsidRPr="006D2A0E" w:rsidRDefault="006D2A0E" w:rsidP="006D2A0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A0E">
              <w:rPr>
                <w:rFonts w:ascii="Times New Roman" w:hAnsi="Times New Roman"/>
                <w:sz w:val="24"/>
                <w:szCs w:val="24"/>
                <w:lang w:val="uk-UA"/>
              </w:rPr>
              <w:t>7398</w:t>
            </w:r>
            <w:r w:rsidR="005A495B" w:rsidRPr="006D2A0E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  <w:r w:rsidRPr="006D2A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A495B" w:rsidRPr="00BE19F9" w:rsidTr="005A495B">
        <w:trPr>
          <w:trHeight w:val="331"/>
        </w:trPr>
        <w:tc>
          <w:tcPr>
            <w:tcW w:w="590" w:type="dxa"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right"/>
              <w:rPr>
                <w:lang w:val="uk-UA"/>
              </w:rPr>
            </w:pPr>
            <w:r w:rsidRPr="00BE19F9">
              <w:rPr>
                <w:lang w:val="uk-UA"/>
              </w:rPr>
              <w:t>2.</w:t>
            </w:r>
          </w:p>
        </w:tc>
        <w:tc>
          <w:tcPr>
            <w:tcW w:w="3492" w:type="dxa"/>
            <w:shd w:val="clear" w:color="auto" w:fill="auto"/>
          </w:tcPr>
          <w:p w:rsidR="005A495B" w:rsidRPr="00BE19F9" w:rsidRDefault="005A495B" w:rsidP="005A495B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Бюджет Роменської МТГ</w:t>
            </w:r>
          </w:p>
        </w:tc>
        <w:tc>
          <w:tcPr>
            <w:tcW w:w="1270" w:type="dxa"/>
            <w:vAlign w:val="bottom"/>
          </w:tcPr>
          <w:p w:rsidR="005A495B" w:rsidRPr="00BE19F9" w:rsidRDefault="005A495B" w:rsidP="00FF033A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>тис. грн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A495B" w:rsidRPr="006D2A0E" w:rsidRDefault="006D2A0E" w:rsidP="006D2A0E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2A0E">
              <w:rPr>
                <w:rFonts w:ascii="Times New Roman" w:hAnsi="Times New Roman"/>
                <w:sz w:val="24"/>
                <w:szCs w:val="24"/>
                <w:lang w:val="uk-UA"/>
              </w:rPr>
              <w:t>7398,</w:t>
            </w:r>
            <w:r w:rsidR="005A495B" w:rsidRPr="006D2A0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6D2A0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  <w:tr w:rsidR="005A495B" w:rsidRPr="00BE19F9" w:rsidTr="005A495B">
        <w:trPr>
          <w:trHeight w:val="279"/>
        </w:trPr>
        <w:tc>
          <w:tcPr>
            <w:tcW w:w="590" w:type="dxa"/>
          </w:tcPr>
          <w:p w:rsidR="005A495B" w:rsidRPr="00BE19F9" w:rsidRDefault="005A495B" w:rsidP="00243902">
            <w:pPr>
              <w:pStyle w:val="aa"/>
              <w:spacing w:before="0" w:beforeAutospacing="0" w:after="0" w:afterAutospacing="0"/>
              <w:jc w:val="righ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E19F9">
              <w:rPr>
                <w:lang w:val="uk-UA"/>
              </w:rPr>
              <w:t>.</w:t>
            </w:r>
          </w:p>
        </w:tc>
        <w:tc>
          <w:tcPr>
            <w:tcW w:w="3492" w:type="dxa"/>
            <w:shd w:val="clear" w:color="auto" w:fill="auto"/>
          </w:tcPr>
          <w:p w:rsidR="005A495B" w:rsidRPr="00BE19F9" w:rsidRDefault="005A495B" w:rsidP="00243902">
            <w:pPr>
              <w:pStyle w:val="aa"/>
              <w:spacing w:before="0" w:beforeAutospacing="0" w:after="0" w:afterAutospacing="0"/>
              <w:jc w:val="both"/>
              <w:rPr>
                <w:lang w:val="uk-UA"/>
              </w:rPr>
            </w:pPr>
            <w:r w:rsidRPr="00FA2487">
              <w:rPr>
                <w:lang w:val="uk-UA"/>
              </w:rPr>
              <w:t>Інші джерела фінансування</w:t>
            </w:r>
          </w:p>
        </w:tc>
        <w:tc>
          <w:tcPr>
            <w:tcW w:w="1270" w:type="dxa"/>
            <w:vAlign w:val="bottom"/>
          </w:tcPr>
          <w:p w:rsidR="005A495B" w:rsidRPr="00BE19F9" w:rsidRDefault="005A495B" w:rsidP="00FF033A">
            <w:pPr>
              <w:pStyle w:val="aa"/>
              <w:spacing w:before="0" w:beforeAutospacing="0" w:after="0" w:afterAutospacing="0"/>
              <w:jc w:val="center"/>
              <w:rPr>
                <w:lang w:val="uk-UA"/>
              </w:rPr>
            </w:pPr>
            <w:r w:rsidRPr="00BE19F9">
              <w:rPr>
                <w:lang w:val="uk-UA"/>
              </w:rPr>
              <w:t>тис. грн</w:t>
            </w:r>
          </w:p>
        </w:tc>
        <w:tc>
          <w:tcPr>
            <w:tcW w:w="1530" w:type="dxa"/>
            <w:shd w:val="clear" w:color="auto" w:fill="auto"/>
            <w:vAlign w:val="bottom"/>
          </w:tcPr>
          <w:p w:rsidR="005A495B" w:rsidRPr="00582E29" w:rsidRDefault="005A495B" w:rsidP="00243902">
            <w:pPr>
              <w:pStyle w:val="aa"/>
              <w:spacing w:before="0" w:beforeAutospacing="0" w:after="0" w:afterAutospacing="0"/>
              <w:jc w:val="center"/>
              <w:rPr>
                <w:color w:val="FF0000"/>
                <w:lang w:val="uk-UA"/>
              </w:rPr>
            </w:pPr>
          </w:p>
        </w:tc>
      </w:tr>
    </w:tbl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95B" w:rsidRDefault="005A495B" w:rsidP="005A495B">
      <w:pPr>
        <w:spacing w:before="120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</w:t>
      </w:r>
      <w:r w:rsidRPr="00BE19F9">
        <w:rPr>
          <w:rFonts w:ascii="Times New Roman" w:hAnsi="Times New Roman"/>
          <w:sz w:val="24"/>
          <w:szCs w:val="24"/>
          <w:lang w:val="uk-UA"/>
        </w:rPr>
        <w:t>казники Програми за необхідності можуть коригуватися.</w:t>
      </w:r>
    </w:p>
    <w:p w:rsidR="005A495B" w:rsidRPr="00BE19F9" w:rsidRDefault="005A495B" w:rsidP="005A495B">
      <w:pPr>
        <w:pStyle w:val="ParagraphStyle"/>
        <w:jc w:val="both"/>
        <w:rPr>
          <w:rFonts w:ascii="Times New Roman" w:hAnsi="Times New Roman"/>
          <w:b/>
          <w:highlight w:val="green"/>
          <w:lang w:val="uk-UA"/>
        </w:rPr>
      </w:pPr>
    </w:p>
    <w:p w:rsidR="005A495B" w:rsidRPr="00BE19F9" w:rsidRDefault="005A495B" w:rsidP="005A495B">
      <w:pPr>
        <w:pStyle w:val="ParagraphStyle"/>
        <w:spacing w:line="360" w:lineRule="auto"/>
        <w:jc w:val="center"/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</w:pPr>
      <w:r w:rsidRPr="00BE19F9">
        <w:rPr>
          <w:rFonts w:ascii="Times New Roman" w:hAnsi="Times New Roman"/>
          <w:b/>
          <w:lang w:val="uk-UA"/>
        </w:rPr>
        <w:t xml:space="preserve">4. </w:t>
      </w:r>
      <w:r w:rsidRPr="00BE19F9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>Перелік завдань і заходів Програми та результативні показники</w:t>
      </w:r>
    </w:p>
    <w:p w:rsidR="005A495B" w:rsidRPr="00BE19F9" w:rsidRDefault="005A495B" w:rsidP="005A495B">
      <w:pPr>
        <w:spacing w:after="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Основними завданнями Програми є: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забезпечення виконання вимог законодавства, що регулює питання забезпечення обороноздатності та </w:t>
      </w:r>
      <w:r>
        <w:rPr>
          <w:rFonts w:ascii="Times New Roman" w:hAnsi="Times New Roman"/>
          <w:sz w:val="24"/>
          <w:szCs w:val="24"/>
          <w:lang w:val="uk-UA"/>
        </w:rPr>
        <w:t>безпеки держави у період воєнного стану</w:t>
      </w:r>
      <w:r w:rsidRPr="00BE19F9">
        <w:rPr>
          <w:rFonts w:ascii="Times New Roman" w:hAnsi="Times New Roman"/>
          <w:sz w:val="24"/>
          <w:szCs w:val="24"/>
          <w:lang w:val="uk-UA"/>
        </w:rPr>
        <w:t>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здійснення заходів щодо забезпечення поставки людських і транспортних ресурсів у військові організаційні структури;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забезпечення індивідуальними засобами захисту та обмундируванням мобілізованих;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забезпечення виділення будівель, споруд, земельних ділянок, транспортних та інших матеріально-технічних засобів, надання послуг Збройним Силам України, іншим військовим формуванням відповідно до мобілізаційних планів;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проведення заходів бойової та мобілізаційної готовності </w:t>
      </w:r>
      <w:r>
        <w:rPr>
          <w:rFonts w:ascii="Times New Roman" w:hAnsi="Times New Roman"/>
          <w:sz w:val="24"/>
          <w:szCs w:val="24"/>
          <w:lang w:val="uk-UA"/>
        </w:rPr>
        <w:t xml:space="preserve">державного </w:t>
      </w:r>
      <w:r w:rsidRPr="00BE19F9">
        <w:rPr>
          <w:rFonts w:ascii="Times New Roman" w:hAnsi="Times New Roman"/>
          <w:sz w:val="24"/>
          <w:szCs w:val="24"/>
          <w:lang w:val="uk-UA"/>
        </w:rPr>
        <w:t>значення;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pacing w:val="7"/>
          <w:sz w:val="24"/>
          <w:szCs w:val="24"/>
          <w:lang w:val="uk-UA"/>
        </w:rPr>
      </w:pPr>
      <w:r w:rsidRPr="00BE19F9">
        <w:rPr>
          <w:rFonts w:ascii="Times New Roman" w:hAnsi="Times New Roman"/>
          <w:spacing w:val="7"/>
          <w:sz w:val="24"/>
          <w:szCs w:val="24"/>
          <w:lang w:val="uk-UA"/>
        </w:rPr>
        <w:t xml:space="preserve">забезпечення здійснення заходів з підготовки до ведення територіальної оборони в </w:t>
      </w:r>
      <w:r>
        <w:rPr>
          <w:rFonts w:ascii="Times New Roman" w:hAnsi="Times New Roman"/>
          <w:spacing w:val="7"/>
          <w:sz w:val="24"/>
          <w:szCs w:val="24"/>
          <w:lang w:val="uk-UA"/>
        </w:rPr>
        <w:t>під час воєнного стану</w:t>
      </w:r>
      <w:r w:rsidRPr="00BE19F9">
        <w:rPr>
          <w:rFonts w:ascii="Times New Roman" w:hAnsi="Times New Roman"/>
          <w:spacing w:val="7"/>
          <w:sz w:val="24"/>
          <w:szCs w:val="24"/>
          <w:lang w:val="uk-UA"/>
        </w:rPr>
        <w:t>;</w:t>
      </w:r>
    </w:p>
    <w:p w:rsidR="005A495B" w:rsidRPr="00597BF4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pacing w:val="7"/>
          <w:sz w:val="24"/>
          <w:szCs w:val="24"/>
          <w:lang w:val="uk-UA"/>
        </w:rPr>
        <w:t xml:space="preserve">забезпечення здійснення </w:t>
      </w:r>
      <w:r w:rsidRPr="00BE19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заходів та робіт з мобілізаційної підготовки місцевого значення</w:t>
      </w:r>
      <w:r w:rsidRPr="00597BF4">
        <w:rPr>
          <w:rFonts w:ascii="Times New Roman" w:hAnsi="Times New Roman"/>
          <w:sz w:val="24"/>
          <w:szCs w:val="24"/>
          <w:lang w:val="uk-UA"/>
        </w:rPr>
        <w:t>.</w:t>
      </w:r>
    </w:p>
    <w:p w:rsidR="005A495B" w:rsidRPr="00BE19F9" w:rsidRDefault="005A495B" w:rsidP="005A495B">
      <w:pPr>
        <w:pStyle w:val="ParagraphStyle"/>
        <w:jc w:val="both"/>
        <w:rPr>
          <w:rStyle w:val="FontStyle"/>
          <w:rFonts w:ascii="Times New Roman" w:hAnsi="Times New Roman" w:cs="Times New Roman"/>
          <w:b/>
          <w:sz w:val="24"/>
          <w:szCs w:val="24"/>
          <w:highlight w:val="green"/>
          <w:lang w:val="uk-UA"/>
        </w:rPr>
      </w:pPr>
    </w:p>
    <w:p w:rsidR="005A495B" w:rsidRPr="00BE19F9" w:rsidRDefault="005A495B" w:rsidP="005A495B">
      <w:pPr>
        <w:pStyle w:val="ParagraphStyle"/>
        <w:spacing w:line="360" w:lineRule="auto"/>
        <w:jc w:val="center"/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</w:pPr>
      <w:r w:rsidRPr="00BE19F9">
        <w:rPr>
          <w:rStyle w:val="FontStyle"/>
          <w:rFonts w:ascii="Times New Roman" w:hAnsi="Times New Roman" w:cs="Times New Roman"/>
          <w:b/>
          <w:sz w:val="24"/>
          <w:szCs w:val="24"/>
          <w:lang w:val="uk-UA"/>
        </w:rPr>
        <w:t>5. Напрями діяльності та заходи Програми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lastRenderedPageBreak/>
        <w:t>Програма визначає напрямки діяльності органів місцевого самоврядування, які приймають участь у її реалізації відповідно до наданих повноважень.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Основними напрямами та засобами реалізації Програми є: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матеріально-технічне забезпечення мобілізаційної підготовки;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створення матеріально-технічного резерву транспорту та паливно-мастильних матеріалів;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здійснення заходів у разі загрози виникнення ситуації, пов’язаної з порушенням нормальних умов життя населення;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>оплата транспортних послуг;</w:t>
      </w:r>
    </w:p>
    <w:p w:rsidR="005A495B" w:rsidRPr="00BE19F9" w:rsidRDefault="005A495B" w:rsidP="005A495B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сприяння Роменському </w:t>
      </w:r>
      <w:r>
        <w:rPr>
          <w:rFonts w:ascii="Times New Roman" w:hAnsi="Times New Roman"/>
          <w:sz w:val="24"/>
          <w:szCs w:val="24"/>
          <w:lang w:val="uk-UA"/>
        </w:rPr>
        <w:t>РТЦК та СП у придбанні палив</w:t>
      </w:r>
      <w:r w:rsidRPr="00BE19F9">
        <w:rPr>
          <w:rFonts w:ascii="Times New Roman" w:hAnsi="Times New Roman"/>
          <w:sz w:val="24"/>
          <w:szCs w:val="24"/>
          <w:lang w:val="uk-UA"/>
        </w:rPr>
        <w:t>но-мастильних матеріалів та автозапчастин для службової автомобільної техніки, шляхом передачі субвенції до державного бюджету;</w:t>
      </w:r>
    </w:p>
    <w:p w:rsidR="005A495B" w:rsidRPr="00687DF8" w:rsidRDefault="005A495B" w:rsidP="005A495B">
      <w:pPr>
        <w:pStyle w:val="FR1"/>
        <w:spacing w:after="120" w:line="276" w:lineRule="auto"/>
        <w:ind w:left="0" w:right="0" w:firstLine="425"/>
        <w:jc w:val="both"/>
        <w:rPr>
          <w:rFonts w:ascii="Times New Roman" w:hAnsi="Times New Roman" w:cs="Times New Roman"/>
          <w:b w:val="0"/>
          <w:spacing w:val="7"/>
          <w:sz w:val="24"/>
          <w:szCs w:val="24"/>
        </w:rPr>
      </w:pPr>
      <w:r w:rsidRPr="00BE19F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матеріально-технічне забезпечення 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Збройних Сил України </w:t>
      </w:r>
      <w:r w:rsidRPr="00BE19F9">
        <w:rPr>
          <w:rFonts w:ascii="Times New Roman" w:hAnsi="Times New Roman" w:cs="Times New Roman"/>
          <w:b w:val="0"/>
          <w:spacing w:val="7"/>
          <w:sz w:val="24"/>
          <w:szCs w:val="24"/>
        </w:rPr>
        <w:t>д</w:t>
      </w:r>
      <w:r w:rsidR="00FF033A">
        <w:rPr>
          <w:rFonts w:ascii="Times New Roman" w:hAnsi="Times New Roman" w:cs="Times New Roman"/>
          <w:b w:val="0"/>
          <w:spacing w:val="7"/>
          <w:sz w:val="24"/>
          <w:szCs w:val="24"/>
        </w:rPr>
        <w:t>ля</w:t>
      </w:r>
      <w:r w:rsidRPr="00BE19F9">
        <w:rPr>
          <w:rFonts w:ascii="Times New Roman" w:hAnsi="Times New Roman" w:cs="Times New Roman"/>
          <w:b w:val="0"/>
          <w:spacing w:val="7"/>
          <w:sz w:val="24"/>
          <w:szCs w:val="24"/>
        </w:rPr>
        <w:t xml:space="preserve"> ведення територіальної оборони </w:t>
      </w:r>
      <w:r>
        <w:rPr>
          <w:rFonts w:ascii="Times New Roman" w:hAnsi="Times New Roman" w:cs="Times New Roman"/>
          <w:b w:val="0"/>
          <w:spacing w:val="7"/>
          <w:sz w:val="24"/>
          <w:szCs w:val="24"/>
        </w:rPr>
        <w:t>під час воєнного стану.</w:t>
      </w:r>
    </w:p>
    <w:p w:rsidR="005A495B" w:rsidRPr="00BE19F9" w:rsidRDefault="005A495B" w:rsidP="005A495B">
      <w:pPr>
        <w:pStyle w:val="aa"/>
        <w:spacing w:before="0" w:beforeAutospacing="0" w:after="0" w:afterAutospacing="0" w:line="360" w:lineRule="auto"/>
        <w:jc w:val="center"/>
        <w:rPr>
          <w:b/>
          <w:lang w:val="uk-UA"/>
        </w:rPr>
      </w:pPr>
      <w:r w:rsidRPr="00BE19F9">
        <w:rPr>
          <w:b/>
          <w:lang w:val="uk-UA"/>
        </w:rPr>
        <w:t>6. Координація та контроль за ходом виконання Програми</w:t>
      </w:r>
    </w:p>
    <w:p w:rsidR="005A495B" w:rsidRPr="00BE19F9" w:rsidRDefault="005A495B" w:rsidP="00FF033A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Координацію та контроль за виконанням Програми здійснює </w:t>
      </w:r>
      <w:r>
        <w:rPr>
          <w:rFonts w:ascii="Times New Roman" w:hAnsi="Times New Roman"/>
          <w:sz w:val="24"/>
          <w:szCs w:val="24"/>
          <w:lang w:val="uk-UA"/>
        </w:rPr>
        <w:t>начальник відділу з питань надзвичайних ситуацій та цивільного захисту населення Виконавчого комітету Роменської міської ради</w:t>
      </w:r>
      <w:r w:rsidRPr="00BE19F9">
        <w:rPr>
          <w:rFonts w:ascii="Times New Roman" w:hAnsi="Times New Roman"/>
          <w:sz w:val="24"/>
          <w:szCs w:val="24"/>
          <w:lang w:val="uk-UA"/>
        </w:rPr>
        <w:t>.</w:t>
      </w:r>
    </w:p>
    <w:p w:rsidR="005A495B" w:rsidRPr="00BE19F9" w:rsidRDefault="005A495B" w:rsidP="00FF033A">
      <w:pPr>
        <w:spacing w:after="120" w:line="271" w:lineRule="auto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BE19F9">
        <w:rPr>
          <w:rFonts w:ascii="Times New Roman" w:hAnsi="Times New Roman"/>
          <w:sz w:val="24"/>
          <w:szCs w:val="24"/>
          <w:lang w:val="uk-UA"/>
        </w:rPr>
        <w:t xml:space="preserve">Учасники та відповідальні виконавці Програми аналізують хід реалізації Програми та надають </w:t>
      </w:r>
      <w:r>
        <w:rPr>
          <w:rFonts w:ascii="Times New Roman" w:hAnsi="Times New Roman"/>
          <w:sz w:val="24"/>
          <w:szCs w:val="24"/>
          <w:lang w:val="uk-UA"/>
        </w:rPr>
        <w:t xml:space="preserve">начальник відділу з питань надзвичайних ситуацій та цивільного захисту населення </w:t>
      </w:r>
      <w:r w:rsidRPr="00BE19F9">
        <w:rPr>
          <w:rFonts w:ascii="Times New Roman" w:hAnsi="Times New Roman"/>
          <w:sz w:val="24"/>
          <w:szCs w:val="24"/>
          <w:lang w:val="uk-UA"/>
        </w:rPr>
        <w:t xml:space="preserve">звіт і пропозиції щодо заходів з її виконання </w:t>
      </w:r>
      <w:r w:rsidRPr="00BE19F9">
        <w:rPr>
          <w:rFonts w:ascii="Times New Roman" w:hAnsi="Times New Roman"/>
          <w:bCs/>
          <w:iCs/>
          <w:sz w:val="24"/>
          <w:szCs w:val="24"/>
          <w:lang w:val="uk-UA"/>
        </w:rPr>
        <w:t xml:space="preserve">щороку до 25 січня та </w:t>
      </w:r>
      <w:r>
        <w:rPr>
          <w:rFonts w:ascii="Times New Roman" w:hAnsi="Times New Roman"/>
          <w:bCs/>
          <w:iCs/>
          <w:sz w:val="24"/>
          <w:szCs w:val="24"/>
          <w:lang w:val="uk-UA"/>
        </w:rPr>
        <w:t>2</w:t>
      </w:r>
      <w:r w:rsidRPr="00BE19F9">
        <w:rPr>
          <w:rFonts w:ascii="Times New Roman" w:hAnsi="Times New Roman"/>
          <w:bCs/>
          <w:iCs/>
          <w:sz w:val="24"/>
          <w:szCs w:val="24"/>
          <w:lang w:val="uk-UA"/>
        </w:rPr>
        <w:t>5 липня</w:t>
      </w:r>
      <w:r w:rsidRPr="00BE19F9">
        <w:rPr>
          <w:rFonts w:ascii="Times New Roman" w:hAnsi="Times New Roman"/>
          <w:sz w:val="24"/>
          <w:szCs w:val="24"/>
          <w:lang w:val="uk-UA"/>
        </w:rPr>
        <w:t>.</w:t>
      </w:r>
    </w:p>
    <w:p w:rsidR="00710978" w:rsidRDefault="005A495B" w:rsidP="00FF033A">
      <w:pPr>
        <w:pStyle w:val="ParagraphStyle"/>
        <w:spacing w:after="120" w:line="271" w:lineRule="auto"/>
        <w:ind w:firstLine="425"/>
        <w:jc w:val="both"/>
        <w:rPr>
          <w:rFonts w:ascii="Times New Roman" w:hAnsi="Times New Roman"/>
          <w:b/>
          <w:color w:val="FF0000"/>
          <w:highlight w:val="green"/>
          <w:lang w:val="uk-UA"/>
        </w:rPr>
      </w:pPr>
      <w:r w:rsidRPr="00460153">
        <w:rPr>
          <w:rFonts w:ascii="Times New Roman" w:hAnsi="Times New Roman"/>
          <w:lang w:val="uk-UA"/>
        </w:rPr>
        <w:t>Контроль за виконанням заходів</w:t>
      </w:r>
      <w:r>
        <w:rPr>
          <w:rFonts w:ascii="Times New Roman" w:hAnsi="Times New Roman"/>
          <w:lang w:val="uk-UA"/>
        </w:rPr>
        <w:t>,</w:t>
      </w:r>
      <w:r w:rsidRPr="00460153">
        <w:rPr>
          <w:rFonts w:ascii="Times New Roman" w:hAnsi="Times New Roman"/>
          <w:lang w:val="uk-UA"/>
        </w:rPr>
        <w:t xml:space="preserve"> передбачених </w:t>
      </w:r>
      <w:r w:rsidR="004C3AB7">
        <w:rPr>
          <w:rFonts w:ascii="Times New Roman" w:hAnsi="Times New Roman"/>
          <w:lang w:val="uk-UA"/>
        </w:rPr>
        <w:t>цією</w:t>
      </w:r>
      <w:r w:rsidRPr="00460153">
        <w:rPr>
          <w:rFonts w:ascii="Times New Roman" w:hAnsi="Times New Roman"/>
          <w:lang w:val="uk-UA"/>
        </w:rPr>
        <w:t xml:space="preserve"> </w:t>
      </w:r>
      <w:r w:rsidR="004C3AB7">
        <w:rPr>
          <w:rFonts w:ascii="Times New Roman" w:hAnsi="Times New Roman"/>
          <w:lang w:val="uk-UA"/>
        </w:rPr>
        <w:t>П</w:t>
      </w:r>
      <w:r w:rsidRPr="00460153">
        <w:rPr>
          <w:rFonts w:ascii="Times New Roman" w:hAnsi="Times New Roman"/>
          <w:lang w:val="uk-UA"/>
        </w:rPr>
        <w:t>рограмою</w:t>
      </w:r>
      <w:r>
        <w:rPr>
          <w:rFonts w:ascii="Times New Roman" w:hAnsi="Times New Roman"/>
          <w:lang w:val="uk-UA"/>
        </w:rPr>
        <w:t>,</w:t>
      </w:r>
      <w:r w:rsidRPr="00460153">
        <w:rPr>
          <w:rFonts w:ascii="Times New Roman" w:hAnsi="Times New Roman"/>
          <w:lang w:val="uk-UA"/>
        </w:rPr>
        <w:t xml:space="preserve"> покладається на постійну комісію з питань </w:t>
      </w:r>
      <w:r>
        <w:rPr>
          <w:rFonts w:ascii="Times New Roman" w:hAnsi="Times New Roman"/>
          <w:lang w:val="uk-UA"/>
        </w:rPr>
        <w:t>регламенту, законності, інформаційного простору</w:t>
      </w:r>
      <w:r>
        <w:rPr>
          <w:rFonts w:ascii="Times New Roman" w:hAnsi="Times New Roman"/>
          <w:b/>
          <w:color w:val="FF0000"/>
          <w:highlight w:val="green"/>
          <w:lang w:val="uk-UA"/>
        </w:rPr>
        <w:t xml:space="preserve"> </w:t>
      </w:r>
      <w:r w:rsidR="00710978">
        <w:rPr>
          <w:rFonts w:ascii="Times New Roman" w:hAnsi="Times New Roman"/>
          <w:b/>
          <w:color w:val="FF0000"/>
          <w:highlight w:val="green"/>
          <w:lang w:val="uk-UA"/>
        </w:rPr>
        <w:br w:type="page"/>
      </w:r>
    </w:p>
    <w:p w:rsidR="00582E29" w:rsidRPr="007B18CA" w:rsidRDefault="00582E29" w:rsidP="00FF033A">
      <w:pPr>
        <w:spacing w:after="120" w:line="271" w:lineRule="auto"/>
        <w:ind w:firstLine="425"/>
        <w:rPr>
          <w:rFonts w:ascii="Times New Roman" w:hAnsi="Times New Roman"/>
          <w:b/>
          <w:color w:val="FF0000"/>
          <w:sz w:val="24"/>
          <w:szCs w:val="24"/>
          <w:lang w:val="uk-UA"/>
        </w:rPr>
        <w:sectPr w:rsidR="00582E29" w:rsidRPr="007B18CA" w:rsidSect="0071097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5F98" w:rsidRDefault="004C3AB7" w:rsidP="008B5F98">
      <w:pPr>
        <w:spacing w:after="0" w:line="264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7. Н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апрям</w:t>
      </w:r>
      <w:r>
        <w:rPr>
          <w:rFonts w:ascii="Times New Roman" w:hAnsi="Times New Roman"/>
          <w:b/>
          <w:sz w:val="24"/>
          <w:szCs w:val="24"/>
          <w:lang w:val="uk-UA"/>
        </w:rPr>
        <w:t>и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 xml:space="preserve"> діяльності </w:t>
      </w:r>
      <w:r w:rsidR="00E529FA">
        <w:rPr>
          <w:rFonts w:ascii="Times New Roman" w:hAnsi="Times New Roman"/>
          <w:b/>
          <w:sz w:val="24"/>
          <w:szCs w:val="24"/>
          <w:lang w:val="uk-UA"/>
        </w:rPr>
        <w:t xml:space="preserve">та </w:t>
      </w:r>
      <w:r w:rsidR="008B5F98">
        <w:rPr>
          <w:rFonts w:ascii="Times New Roman" w:hAnsi="Times New Roman"/>
          <w:b/>
          <w:sz w:val="24"/>
          <w:szCs w:val="24"/>
          <w:lang w:val="uk-UA"/>
        </w:rPr>
        <w:t>заходів</w:t>
      </w:r>
    </w:p>
    <w:p w:rsidR="008656E0" w:rsidRDefault="008B5F98" w:rsidP="00B25973">
      <w:pPr>
        <w:spacing w:after="0" w:line="264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щодо реалізації </w:t>
      </w:r>
      <w:proofErr w:type="spellStart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="00C93709" w:rsidRPr="00793C1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обороноздатності і безпеки держави у період дії воєнного стану </w:t>
      </w:r>
      <w:r w:rsidR="00B72229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на 2026</w:t>
      </w:r>
      <w:r w:rsidR="004C3AB7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 w:rsidR="007F269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</w:t>
      </w:r>
    </w:p>
    <w:tbl>
      <w:tblPr>
        <w:tblW w:w="16077" w:type="dxa"/>
        <w:jc w:val="center"/>
        <w:tblLayout w:type="fixed"/>
        <w:tblLook w:val="0020" w:firstRow="1" w:lastRow="0" w:firstColumn="0" w:lastColumn="0" w:noHBand="0" w:noVBand="0"/>
      </w:tblPr>
      <w:tblGrid>
        <w:gridCol w:w="709"/>
        <w:gridCol w:w="3463"/>
        <w:gridCol w:w="1243"/>
        <w:gridCol w:w="1554"/>
        <w:gridCol w:w="1276"/>
        <w:gridCol w:w="1153"/>
        <w:gridCol w:w="1571"/>
        <w:gridCol w:w="5108"/>
      </w:tblGrid>
      <w:tr w:rsidR="005A495B" w:rsidRPr="008656E0" w:rsidTr="005A495B">
        <w:trPr>
          <w:cantSplit/>
          <w:trHeight w:val="708"/>
          <w:tblHeader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27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A495B" w:rsidRPr="008656E0" w:rsidRDefault="005A495B" w:rsidP="00407B10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5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8656E0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656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5A495B" w:rsidRPr="008656E0" w:rsidTr="005A495B">
        <w:trPr>
          <w:cantSplit/>
          <w:trHeight w:val="280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5A495B" w:rsidRPr="00FE2C0E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  <w:r w:rsidRPr="00FE2C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сього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FE2C0E" w:rsidRDefault="005A495B" w:rsidP="00952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FE2C0E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в т.ч. по роках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:</w:t>
            </w:r>
          </w:p>
        </w:tc>
        <w:tc>
          <w:tcPr>
            <w:tcW w:w="51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495B" w:rsidRPr="008656E0" w:rsidTr="005A495B">
        <w:trPr>
          <w:cantSplit/>
          <w:trHeight w:val="109"/>
          <w:tblHeader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6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autoSpaceDE w:val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A495B" w:rsidRPr="00FE2C0E" w:rsidRDefault="005A495B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A495B" w:rsidRPr="00B30280" w:rsidRDefault="005A495B" w:rsidP="005A4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3028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</w:t>
            </w:r>
            <w:r w:rsidR="00B722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1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95B" w:rsidRPr="008656E0" w:rsidRDefault="005A495B" w:rsidP="00597B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495B" w:rsidRPr="008656E0" w:rsidTr="005A495B">
        <w:trPr>
          <w:cantSplit/>
          <w:trHeight w:val="16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7"/>
                <w:sz w:val="24"/>
                <w:szCs w:val="24"/>
                <w:lang w:val="uk-UA"/>
              </w:rPr>
              <w:t>Послуги з облаштування інженерно-технічних та фортифікаційних споруд для кругової оборони Роменської міської територіальної громади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B72229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B7222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656E0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="00B72229">
              <w:rPr>
                <w:rFonts w:ascii="Times New Roman" w:hAnsi="Times New Roman"/>
                <w:sz w:val="24"/>
                <w:szCs w:val="24"/>
                <w:lang w:val="uk-UA"/>
              </w:rPr>
              <w:t>ік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51C93" w:rsidRDefault="00B72229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5A495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000</w:t>
            </w:r>
            <w:r w:rsidR="005A495B"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501DEE" w:rsidRDefault="00B72229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="005A495B"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000,0</w:t>
            </w: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5B" w:rsidRDefault="005A495B" w:rsidP="00B30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922E41" w:rsidRDefault="005A495B" w:rsidP="00C55393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5A495B" w:rsidRDefault="005A495B" w:rsidP="00B30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495B" w:rsidRPr="008656E0" w:rsidTr="005A495B">
        <w:trPr>
          <w:cantSplit/>
          <w:trHeight w:val="26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BA21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C5539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Технічний нагляд за виконанням будівельно-монтажних робіт по об’єкту: «Послуги з облаштування інженерно-технічних та фортифікаційних споруд для кругової оборони Роменської міської територіальної громади»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B72229" w:rsidP="005347EB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  <w:r w:rsidR="005A49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51C93" w:rsidRDefault="005A495B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5B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922E41" w:rsidRDefault="005A495B" w:rsidP="005347E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5A495B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495B" w:rsidRPr="008656E0" w:rsidTr="005A495B">
        <w:trPr>
          <w:cantSplit/>
          <w:trHeight w:val="14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BA21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C5539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екскаватора для облаштування фортифікаційних споруд – копання траншей, котлованів та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грунту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5347EB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51C93" w:rsidRDefault="005A495B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B722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B722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160</w:t>
            </w: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5B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922E41" w:rsidRDefault="005A495B" w:rsidP="005347E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5A495B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A495B" w:rsidRPr="008656E0" w:rsidTr="00B72229">
        <w:trPr>
          <w:cantSplit/>
          <w:trHeight w:val="12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BA21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229" w:rsidRDefault="005A495B" w:rsidP="00C5539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по виконанню земляних робіт екскаватором – засипка траншей, котлованів та розроблення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грунту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5347EB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656E0" w:rsidRDefault="005A495B" w:rsidP="005347E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Pr="00851C93" w:rsidRDefault="005A495B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B722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5B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 w:rsidR="00B7222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450</w:t>
            </w:r>
          </w:p>
          <w:p w:rsidR="005A495B" w:rsidRPr="00501DEE" w:rsidRDefault="005A495B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A495B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5A495B" w:rsidRPr="00922E41" w:rsidRDefault="005A495B" w:rsidP="005347E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5A495B" w:rsidRDefault="005A495B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F1E61" w:rsidRPr="008656E0" w:rsidTr="00EF1E61">
        <w:trPr>
          <w:cantSplit/>
          <w:trHeight w:val="20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BA21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C5539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Придбання предметів, матеріалів, обладнання та інвентарю для забезпечення підрозділів територіальної оборони та територіального центру комплектування та соціальної підтримки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Pr="008656E0" w:rsidRDefault="00EF1E61" w:rsidP="00B6687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Pr="008656E0" w:rsidRDefault="00EF1E61" w:rsidP="00B6687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Pr="00851C93" w:rsidRDefault="00EF1E61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F1E61" w:rsidRPr="00501DEE" w:rsidRDefault="00EF1E61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1000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,0</w:t>
            </w:r>
          </w:p>
          <w:p w:rsidR="00EF1E61" w:rsidRPr="00501DEE" w:rsidRDefault="00EF1E61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1E61" w:rsidRPr="00922E41" w:rsidRDefault="00EF1E61" w:rsidP="00EF1E6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EF1E61" w:rsidRDefault="00EF1E61" w:rsidP="00534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EF1E61" w:rsidRPr="008656E0" w:rsidTr="005A495B">
        <w:trPr>
          <w:cantSplit/>
          <w:trHeight w:val="38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BA2177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C55393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Послуги навантажувача для забезпечення безпеки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ьа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стійкості об’єктів критичної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інфораструктури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B6687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Pr="008656E0" w:rsidRDefault="00EF1E61" w:rsidP="00B6687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Pr="008656E0" w:rsidRDefault="00EF1E61" w:rsidP="00B6687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Pr="00851C93" w:rsidRDefault="00EF1E61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 w:rsidRPr="00851C9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61" w:rsidRDefault="00EF1E61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  <w:p w:rsidR="00EF1E61" w:rsidRPr="00501DEE" w:rsidRDefault="00EF1E61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99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</w:t>
            </w:r>
            <w:r w:rsidRPr="00591F84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</w:p>
          <w:p w:rsidR="00EF1E61" w:rsidRPr="00501DEE" w:rsidRDefault="00EF1E61" w:rsidP="00754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F1E61" w:rsidRPr="00922E41" w:rsidRDefault="00EF1E61" w:rsidP="00B66875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о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бороноздатності і безпек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>и</w:t>
            </w:r>
            <w:r w:rsidRPr="00922E41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uk-UA"/>
              </w:rPr>
              <w:t xml:space="preserve"> держави у період дії воєнного стану   </w:t>
            </w:r>
          </w:p>
          <w:p w:rsidR="00EF1E61" w:rsidRDefault="00EF1E61" w:rsidP="00B66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</w:tr>
      <w:tr w:rsidR="00EF1E61" w:rsidRPr="008656E0" w:rsidTr="005A495B">
        <w:trPr>
          <w:cantSplit/>
          <w:trHeight w:val="283"/>
          <w:jc w:val="center"/>
        </w:trPr>
        <w:tc>
          <w:tcPr>
            <w:tcW w:w="4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F1E61" w:rsidRPr="004E7379" w:rsidRDefault="00EF1E61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E7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 Програмі</w:t>
            </w:r>
            <w:r w:rsidRPr="004E737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E61" w:rsidRPr="004E7379" w:rsidRDefault="00EF1E61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E61" w:rsidRPr="004E7379" w:rsidRDefault="00EF1E61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E61" w:rsidRPr="004E7379" w:rsidRDefault="00EF1E61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E61" w:rsidRPr="004E7379" w:rsidRDefault="0075436A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  <w:r w:rsidR="00EF1E6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398,0</w:t>
            </w:r>
            <w:r w:rsidR="006D2A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F1E61" w:rsidRPr="004E7379" w:rsidRDefault="00EF1E61" w:rsidP="0075436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7398,0</w:t>
            </w:r>
            <w:r w:rsidR="006D2A0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F1E61" w:rsidRPr="004E7379" w:rsidRDefault="00EF1E61" w:rsidP="0095238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2766E" w:rsidRDefault="0022766E" w:rsidP="00E529F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FF220E" w:rsidRDefault="00FF220E" w:rsidP="00E529FA">
      <w:pPr>
        <w:spacing w:line="240" w:lineRule="auto"/>
        <w:contextualSpacing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Default="000322FF" w:rsidP="00FF220E">
      <w:pPr>
        <w:spacing w:after="0"/>
        <w:rPr>
          <w:rFonts w:ascii="Times New Roman" w:hAnsi="Times New Roman"/>
          <w:b/>
          <w:sz w:val="24"/>
          <w:szCs w:val="24"/>
          <w:lang w:val="uk-UA"/>
        </w:rPr>
        <w:sectPr w:rsidR="008B5F98" w:rsidSect="0071097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В’ячеслав ГУБАРЬ</w:t>
      </w:r>
    </w:p>
    <w:p w:rsidR="00BA2177" w:rsidRPr="00E4474E" w:rsidRDefault="00BA2177" w:rsidP="00BA217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BA2177" w:rsidRPr="00E4474E" w:rsidRDefault="00BA2177" w:rsidP="00BA2177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E4474E">
        <w:rPr>
          <w:rFonts w:ascii="Times New Roman" w:hAnsi="Times New Roman"/>
          <w:b/>
          <w:sz w:val="24"/>
          <w:szCs w:val="24"/>
          <w:lang w:val="uk-UA"/>
        </w:rPr>
        <w:t>проєкту</w:t>
      </w:r>
      <w:proofErr w:type="spellEnd"/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BA2177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</w:pPr>
      <w:r w:rsidRPr="00E4474E">
        <w:rPr>
          <w:rFonts w:ascii="Times New Roman" w:hAnsi="Times New Roman"/>
          <w:b/>
          <w:sz w:val="24"/>
          <w:szCs w:val="24"/>
          <w:lang w:val="uk-UA"/>
        </w:rPr>
        <w:t xml:space="preserve">«Про затвердження </w:t>
      </w:r>
      <w:proofErr w:type="spellStart"/>
      <w:r w:rsidRPr="00E4474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Програми</w:t>
      </w:r>
      <w:proofErr w:type="spellEnd"/>
      <w:r w:rsidRPr="00E4474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E4474E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обороноздатності і безпеки держави у період дії воєнного стану</w:t>
      </w:r>
      <w:r w:rsidR="0075436A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на 2026</w:t>
      </w:r>
      <w:r w:rsidR="005A495B"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 xml:space="preserve"> рік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uk-UA"/>
        </w:rPr>
        <w:t>»</w:t>
      </w:r>
    </w:p>
    <w:p w:rsidR="00BA2177" w:rsidRPr="003D21EF" w:rsidRDefault="00BA2177" w:rsidP="00BA2177">
      <w:pPr>
        <w:widowControl w:val="0"/>
        <w:tabs>
          <w:tab w:val="left" w:pos="9214"/>
        </w:tabs>
        <w:spacing w:after="0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6174F" w:rsidRDefault="0066174F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6ED6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r w:rsidR="005A495B">
        <w:rPr>
          <w:rFonts w:ascii="Times New Roman" w:hAnsi="Times New Roman"/>
          <w:sz w:val="24"/>
          <w:szCs w:val="24"/>
          <w:lang w:val="uk-UA"/>
        </w:rPr>
        <w:t xml:space="preserve">затвердити </w:t>
      </w:r>
      <w:r w:rsidR="005A49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Програму</w:t>
      </w:r>
      <w:r w:rsidR="00C65A0E" w:rsidRPr="00BB196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обороноздатності і безпеки держави у період дії воєнного стану</w:t>
      </w:r>
      <w:r w:rsidR="0075436A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на 2026</w:t>
      </w:r>
      <w:r w:rsidR="005A495B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рік з відповідними заходами, а саме</w:t>
      </w:r>
      <w:r>
        <w:rPr>
          <w:rFonts w:ascii="Times New Roman" w:hAnsi="Times New Roman"/>
          <w:sz w:val="24"/>
          <w:szCs w:val="24"/>
          <w:lang w:val="uk-UA"/>
        </w:rPr>
        <w:t xml:space="preserve">: </w:t>
      </w:r>
    </w:p>
    <w:p w:rsidR="0066174F" w:rsidRDefault="0066174F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</w:t>
      </w:r>
      <w:r w:rsidRPr="00A7104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пункт </w:t>
      </w:r>
      <w:r w:rsidR="005A495B">
        <w:rPr>
          <w:rFonts w:ascii="Times New Roman" w:hAnsi="Times New Roman"/>
          <w:sz w:val="24"/>
          <w:szCs w:val="24"/>
          <w:lang w:val="uk-UA"/>
        </w:rPr>
        <w:t xml:space="preserve">1 </w:t>
      </w:r>
      <w:r>
        <w:rPr>
          <w:rFonts w:ascii="Times New Roman" w:hAnsi="Times New Roman"/>
          <w:sz w:val="24"/>
          <w:szCs w:val="24"/>
          <w:lang w:val="uk-UA"/>
        </w:rPr>
        <w:t>«</w:t>
      </w:r>
      <w:r>
        <w:rPr>
          <w:rFonts w:ascii="Times New Roman" w:hAnsi="Times New Roman"/>
          <w:spacing w:val="7"/>
          <w:sz w:val="24"/>
          <w:szCs w:val="24"/>
          <w:lang w:val="uk-UA"/>
        </w:rPr>
        <w:t>Послуги з облаштування інженерно-технічних та фортифікаційних споруд для кругової оборони Роменської міської територіальної громади</w:t>
      </w:r>
      <w:r w:rsidR="0075436A">
        <w:rPr>
          <w:rFonts w:ascii="Times New Roman" w:hAnsi="Times New Roman"/>
          <w:sz w:val="24"/>
          <w:szCs w:val="24"/>
          <w:lang w:val="uk-UA"/>
        </w:rPr>
        <w:t>» у сумі 6</w:t>
      </w:r>
      <w:r w:rsidR="005A495B">
        <w:rPr>
          <w:rFonts w:ascii="Times New Roman" w:hAnsi="Times New Roman"/>
          <w:sz w:val="24"/>
          <w:szCs w:val="24"/>
          <w:lang w:val="uk-UA"/>
        </w:rPr>
        <w:t>000,0 тис. грн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66174F" w:rsidRPr="00A511DA" w:rsidRDefault="0066174F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2) пункт </w:t>
      </w:r>
      <w:r w:rsidR="005A495B">
        <w:rPr>
          <w:rFonts w:ascii="Times New Roman" w:hAnsi="Times New Roman"/>
          <w:sz w:val="24"/>
          <w:szCs w:val="24"/>
          <w:lang w:val="uk-UA"/>
        </w:rPr>
        <w:t>2</w:t>
      </w:r>
      <w:r>
        <w:rPr>
          <w:rFonts w:ascii="Times New Roman" w:hAnsi="Times New Roman"/>
          <w:sz w:val="24"/>
          <w:szCs w:val="24"/>
          <w:lang w:val="uk-UA"/>
        </w:rPr>
        <w:t xml:space="preserve"> «Технічний нагляд за виконанням будівельно-монтажних робіт по об’єкту: «Послуги з облаштування інженерно-технічних та фортифікаційних споруд для кругової оборони Роменської міської територіальної громади»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у сумі </w:t>
      </w:r>
      <w:r w:rsidRPr="00885F8C">
        <w:rPr>
          <w:rFonts w:ascii="Times New Roman" w:hAnsi="Times New Roman"/>
          <w:sz w:val="24"/>
          <w:szCs w:val="24"/>
          <w:lang w:val="uk-UA"/>
        </w:rPr>
        <w:t>99,800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тис. грн;</w:t>
      </w:r>
    </w:p>
    <w:p w:rsidR="0066174F" w:rsidRPr="00A511DA" w:rsidRDefault="0066174F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3) </w:t>
      </w:r>
      <w:proofErr w:type="spellStart"/>
      <w:r w:rsidR="00E145E0">
        <w:rPr>
          <w:rFonts w:ascii="Times New Roman" w:hAnsi="Times New Roman"/>
          <w:sz w:val="24"/>
          <w:szCs w:val="24"/>
          <w:lang w:val="uk-UA"/>
        </w:rPr>
        <w:t>п</w:t>
      </w:r>
      <w:r>
        <w:rPr>
          <w:rFonts w:ascii="Times New Roman" w:hAnsi="Times New Roman"/>
          <w:sz w:val="24"/>
          <w:szCs w:val="24"/>
          <w:lang w:val="uk-UA"/>
        </w:rPr>
        <w:t>нкт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3 «Послуги екскаватора для облаштування фортифікаційних споруд – копання траншей, котлованів та 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грунту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у сумі </w:t>
      </w:r>
      <w:r w:rsidRPr="00885F8C">
        <w:rPr>
          <w:rFonts w:ascii="Times New Roman" w:hAnsi="Times New Roman"/>
          <w:sz w:val="24"/>
          <w:szCs w:val="24"/>
          <w:lang w:val="uk-UA"/>
        </w:rPr>
        <w:t>99,</w:t>
      </w:r>
      <w:r w:rsidR="0075436A">
        <w:rPr>
          <w:rFonts w:ascii="Times New Roman" w:hAnsi="Times New Roman"/>
          <w:sz w:val="24"/>
          <w:szCs w:val="24"/>
          <w:lang w:val="uk-UA"/>
        </w:rPr>
        <w:t>16</w:t>
      </w:r>
      <w:r w:rsidRPr="00885F8C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тис. грн;</w:t>
      </w:r>
    </w:p>
    <w:p w:rsidR="0066174F" w:rsidRDefault="0066174F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4) пункт </w:t>
      </w:r>
      <w:r w:rsidR="00E145E0">
        <w:rPr>
          <w:rFonts w:ascii="Times New Roman" w:hAnsi="Times New Roman"/>
          <w:sz w:val="24"/>
          <w:szCs w:val="24"/>
          <w:lang w:val="uk-UA"/>
        </w:rPr>
        <w:t>4</w:t>
      </w:r>
      <w:r>
        <w:rPr>
          <w:rFonts w:ascii="Times New Roman" w:hAnsi="Times New Roman"/>
          <w:sz w:val="24"/>
          <w:szCs w:val="24"/>
          <w:lang w:val="uk-UA"/>
        </w:rPr>
        <w:t xml:space="preserve"> «Послуги по виконанню земляних робіт екскаватором – засипка траншей, котлованів та розроблення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грунту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</w:t>
      </w:r>
      <w:r w:rsidR="00E145E0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у сумі </w:t>
      </w:r>
      <w:r w:rsidRPr="00885F8C">
        <w:rPr>
          <w:rFonts w:ascii="Times New Roman" w:hAnsi="Times New Roman"/>
          <w:sz w:val="24"/>
          <w:szCs w:val="24"/>
          <w:lang w:val="uk-UA"/>
        </w:rPr>
        <w:t>99,</w:t>
      </w:r>
      <w:r w:rsidR="0075436A">
        <w:rPr>
          <w:rFonts w:ascii="Times New Roman" w:hAnsi="Times New Roman"/>
          <w:sz w:val="24"/>
          <w:szCs w:val="24"/>
          <w:lang w:val="uk-UA"/>
        </w:rPr>
        <w:t>45</w:t>
      </w:r>
      <w:r w:rsidRPr="00885F8C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5436A">
        <w:rPr>
          <w:rFonts w:ascii="Times New Roman" w:hAnsi="Times New Roman"/>
          <w:color w:val="000000"/>
          <w:sz w:val="24"/>
          <w:szCs w:val="24"/>
          <w:lang w:val="uk-UA" w:eastAsia="uk-UA"/>
        </w:rPr>
        <w:t>тис. грн.;</w:t>
      </w:r>
    </w:p>
    <w:p w:rsidR="0075436A" w:rsidRDefault="0075436A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5) пункт 5 «</w:t>
      </w:r>
      <w:r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 для забезпечення підрозділів територіальної оборони та територіального центру комплектування та соціальної підтримки» у сумі 1000,0 тис. грн;</w:t>
      </w:r>
    </w:p>
    <w:p w:rsidR="0075436A" w:rsidRDefault="0075436A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6) пункт 6 «Послуги навантажувача для забезпечення безпеки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ьа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стійкості об’єктів критичної інфраструктури» у сумі 99,600 тис. грн.</w:t>
      </w:r>
    </w:p>
    <w:p w:rsidR="00FF033A" w:rsidRPr="00A511DA" w:rsidRDefault="00FF033A" w:rsidP="006C12B4">
      <w:pPr>
        <w:widowControl w:val="0"/>
        <w:autoSpaceDE w:val="0"/>
        <w:autoSpaceDN w:val="0"/>
        <w:adjustRightInd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Програма буде доповнюватись в разі надходження запитів від військових частин та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завданнь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від військового керівництва.</w:t>
      </w:r>
    </w:p>
    <w:p w:rsidR="00BB1966" w:rsidRPr="00756ED6" w:rsidRDefault="00BB1966" w:rsidP="006C12B4">
      <w:pPr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46ED1" w:rsidRDefault="00146ED1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з питань надзвичайних 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56ED6"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</w:r>
      <w:r w:rsidRPr="00756ED6"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8B5F98" w:rsidRPr="00756ED6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B5F98" w:rsidRPr="00E84357" w:rsidRDefault="008B5F98" w:rsidP="008B5F98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8B5F98" w:rsidRPr="008656E0" w:rsidRDefault="008B5F98" w:rsidP="001D650D">
      <w:pPr>
        <w:ind w:right="-284"/>
        <w:contextualSpacing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8B5F98" w:rsidRPr="008656E0" w:rsidSect="009523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14A30"/>
    <w:multiLevelType w:val="hybridMultilevel"/>
    <w:tmpl w:val="0C6E5A16"/>
    <w:lvl w:ilvl="0" w:tplc="48B0FB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AF213C"/>
    <w:multiLevelType w:val="hybridMultilevel"/>
    <w:tmpl w:val="3372E28E"/>
    <w:lvl w:ilvl="0" w:tplc="8F0681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9C21E3"/>
    <w:multiLevelType w:val="hybridMultilevel"/>
    <w:tmpl w:val="D040DEBC"/>
    <w:lvl w:ilvl="0" w:tplc="B3F8D2D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4F10618"/>
    <w:multiLevelType w:val="hybridMultilevel"/>
    <w:tmpl w:val="07382EA4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57979"/>
    <w:multiLevelType w:val="hybridMultilevel"/>
    <w:tmpl w:val="511620DC"/>
    <w:lvl w:ilvl="0" w:tplc="680E46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1A401F"/>
    <w:multiLevelType w:val="hybridMultilevel"/>
    <w:tmpl w:val="4A4A68C8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C76BD"/>
    <w:multiLevelType w:val="hybridMultilevel"/>
    <w:tmpl w:val="0860C26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4EBB"/>
    <w:multiLevelType w:val="hybridMultilevel"/>
    <w:tmpl w:val="6504C3FE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01F36"/>
    <w:multiLevelType w:val="hybridMultilevel"/>
    <w:tmpl w:val="180E4F3A"/>
    <w:lvl w:ilvl="0" w:tplc="CB2C10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1761C"/>
    <w:multiLevelType w:val="hybridMultilevel"/>
    <w:tmpl w:val="A4B89574"/>
    <w:lvl w:ilvl="0" w:tplc="0AEC7262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F4"/>
    <w:rsid w:val="000031B8"/>
    <w:rsid w:val="00024943"/>
    <w:rsid w:val="000259A5"/>
    <w:rsid w:val="000315DD"/>
    <w:rsid w:val="000322FF"/>
    <w:rsid w:val="00041304"/>
    <w:rsid w:val="0004408F"/>
    <w:rsid w:val="0005788C"/>
    <w:rsid w:val="00061AE7"/>
    <w:rsid w:val="00067F60"/>
    <w:rsid w:val="00086805"/>
    <w:rsid w:val="00093144"/>
    <w:rsid w:val="000A095D"/>
    <w:rsid w:val="000A434C"/>
    <w:rsid w:val="000A5690"/>
    <w:rsid w:val="000B7B5E"/>
    <w:rsid w:val="000C31CA"/>
    <w:rsid w:val="000C57F8"/>
    <w:rsid w:val="000E1939"/>
    <w:rsid w:val="000E46E7"/>
    <w:rsid w:val="001141F1"/>
    <w:rsid w:val="00146ED1"/>
    <w:rsid w:val="0015180D"/>
    <w:rsid w:val="00165536"/>
    <w:rsid w:val="00170B8E"/>
    <w:rsid w:val="001835B2"/>
    <w:rsid w:val="001B08E9"/>
    <w:rsid w:val="001B1104"/>
    <w:rsid w:val="001B79B5"/>
    <w:rsid w:val="001D3F2F"/>
    <w:rsid w:val="001D650D"/>
    <w:rsid w:val="001D7064"/>
    <w:rsid w:val="001E268C"/>
    <w:rsid w:val="001E37CA"/>
    <w:rsid w:val="001F3AF0"/>
    <w:rsid w:val="00200B46"/>
    <w:rsid w:val="002134C7"/>
    <w:rsid w:val="00223221"/>
    <w:rsid w:val="0022766E"/>
    <w:rsid w:val="0023053E"/>
    <w:rsid w:val="002449FF"/>
    <w:rsid w:val="00251E51"/>
    <w:rsid w:val="00262543"/>
    <w:rsid w:val="002644F9"/>
    <w:rsid w:val="002776CF"/>
    <w:rsid w:val="00293039"/>
    <w:rsid w:val="002953B5"/>
    <w:rsid w:val="00295B65"/>
    <w:rsid w:val="00296A45"/>
    <w:rsid w:val="00296B68"/>
    <w:rsid w:val="002B331C"/>
    <w:rsid w:val="002C190C"/>
    <w:rsid w:val="002C4032"/>
    <w:rsid w:val="002D276C"/>
    <w:rsid w:val="002D2F69"/>
    <w:rsid w:val="002D2F98"/>
    <w:rsid w:val="002D3D80"/>
    <w:rsid w:val="002E0F00"/>
    <w:rsid w:val="002E3719"/>
    <w:rsid w:val="002E7755"/>
    <w:rsid w:val="002F4612"/>
    <w:rsid w:val="002F5187"/>
    <w:rsid w:val="00300C33"/>
    <w:rsid w:val="00317486"/>
    <w:rsid w:val="00333741"/>
    <w:rsid w:val="00337B2D"/>
    <w:rsid w:val="00341423"/>
    <w:rsid w:val="00351909"/>
    <w:rsid w:val="003629BD"/>
    <w:rsid w:val="00380326"/>
    <w:rsid w:val="00383BE2"/>
    <w:rsid w:val="00385E4A"/>
    <w:rsid w:val="00387573"/>
    <w:rsid w:val="003A17E0"/>
    <w:rsid w:val="003A5750"/>
    <w:rsid w:val="003A795E"/>
    <w:rsid w:val="003D0F0D"/>
    <w:rsid w:val="003D21EF"/>
    <w:rsid w:val="004038D3"/>
    <w:rsid w:val="00407B10"/>
    <w:rsid w:val="004140F9"/>
    <w:rsid w:val="00430256"/>
    <w:rsid w:val="004416E2"/>
    <w:rsid w:val="00450820"/>
    <w:rsid w:val="00450CD9"/>
    <w:rsid w:val="00450EDD"/>
    <w:rsid w:val="00451F58"/>
    <w:rsid w:val="00460153"/>
    <w:rsid w:val="00464089"/>
    <w:rsid w:val="0048331A"/>
    <w:rsid w:val="004A00C0"/>
    <w:rsid w:val="004A7CDA"/>
    <w:rsid w:val="004C0B4C"/>
    <w:rsid w:val="004C3AB7"/>
    <w:rsid w:val="004C50D4"/>
    <w:rsid w:val="004D2231"/>
    <w:rsid w:val="004D2E40"/>
    <w:rsid w:val="004E62B9"/>
    <w:rsid w:val="004E7379"/>
    <w:rsid w:val="004E7D6E"/>
    <w:rsid w:val="004F0BDB"/>
    <w:rsid w:val="004F29F3"/>
    <w:rsid w:val="00501DEE"/>
    <w:rsid w:val="00504E73"/>
    <w:rsid w:val="00517883"/>
    <w:rsid w:val="005206BB"/>
    <w:rsid w:val="0052432C"/>
    <w:rsid w:val="00524D06"/>
    <w:rsid w:val="00525B93"/>
    <w:rsid w:val="005431FE"/>
    <w:rsid w:val="005457E5"/>
    <w:rsid w:val="0055237D"/>
    <w:rsid w:val="00552824"/>
    <w:rsid w:val="00554130"/>
    <w:rsid w:val="00555B95"/>
    <w:rsid w:val="005700B1"/>
    <w:rsid w:val="00573005"/>
    <w:rsid w:val="005827B3"/>
    <w:rsid w:val="00582E29"/>
    <w:rsid w:val="0059071F"/>
    <w:rsid w:val="005916E9"/>
    <w:rsid w:val="00591F84"/>
    <w:rsid w:val="00594E1D"/>
    <w:rsid w:val="005956CB"/>
    <w:rsid w:val="00597BF4"/>
    <w:rsid w:val="005A26CB"/>
    <w:rsid w:val="005A495B"/>
    <w:rsid w:val="005C24F4"/>
    <w:rsid w:val="005E3DE9"/>
    <w:rsid w:val="005F5CFB"/>
    <w:rsid w:val="0061123A"/>
    <w:rsid w:val="00616E91"/>
    <w:rsid w:val="0062082D"/>
    <w:rsid w:val="00643026"/>
    <w:rsid w:val="006515C1"/>
    <w:rsid w:val="00652864"/>
    <w:rsid w:val="00655C6F"/>
    <w:rsid w:val="0066122A"/>
    <w:rsid w:val="0066174F"/>
    <w:rsid w:val="00676015"/>
    <w:rsid w:val="006857DD"/>
    <w:rsid w:val="00687BF7"/>
    <w:rsid w:val="00687DEB"/>
    <w:rsid w:val="00687DF8"/>
    <w:rsid w:val="00697FFB"/>
    <w:rsid w:val="006B4454"/>
    <w:rsid w:val="006C12B4"/>
    <w:rsid w:val="006C625E"/>
    <w:rsid w:val="006D2A0E"/>
    <w:rsid w:val="006D3755"/>
    <w:rsid w:val="00710978"/>
    <w:rsid w:val="007327B7"/>
    <w:rsid w:val="00737EEE"/>
    <w:rsid w:val="00750D42"/>
    <w:rsid w:val="007528CA"/>
    <w:rsid w:val="0075436A"/>
    <w:rsid w:val="007560EE"/>
    <w:rsid w:val="00756ED6"/>
    <w:rsid w:val="00766435"/>
    <w:rsid w:val="00783867"/>
    <w:rsid w:val="007852B3"/>
    <w:rsid w:val="0078673B"/>
    <w:rsid w:val="00792E85"/>
    <w:rsid w:val="00793C1C"/>
    <w:rsid w:val="007A0152"/>
    <w:rsid w:val="007B18CA"/>
    <w:rsid w:val="007E490E"/>
    <w:rsid w:val="007E4A62"/>
    <w:rsid w:val="007E4EDA"/>
    <w:rsid w:val="007E7725"/>
    <w:rsid w:val="007F269B"/>
    <w:rsid w:val="007F584A"/>
    <w:rsid w:val="00803CE0"/>
    <w:rsid w:val="00806715"/>
    <w:rsid w:val="00810096"/>
    <w:rsid w:val="00810B9F"/>
    <w:rsid w:val="0081389A"/>
    <w:rsid w:val="00815901"/>
    <w:rsid w:val="0082049E"/>
    <w:rsid w:val="008307D1"/>
    <w:rsid w:val="00831415"/>
    <w:rsid w:val="00836C31"/>
    <w:rsid w:val="00840D21"/>
    <w:rsid w:val="00843880"/>
    <w:rsid w:val="008458CD"/>
    <w:rsid w:val="0084683D"/>
    <w:rsid w:val="00851C93"/>
    <w:rsid w:val="0085349C"/>
    <w:rsid w:val="00855C02"/>
    <w:rsid w:val="008656E0"/>
    <w:rsid w:val="00866DD8"/>
    <w:rsid w:val="00883701"/>
    <w:rsid w:val="00885DCB"/>
    <w:rsid w:val="00887B17"/>
    <w:rsid w:val="0089545A"/>
    <w:rsid w:val="00895B61"/>
    <w:rsid w:val="008A0240"/>
    <w:rsid w:val="008A6B64"/>
    <w:rsid w:val="008A70AD"/>
    <w:rsid w:val="008B5F98"/>
    <w:rsid w:val="008C1D9D"/>
    <w:rsid w:val="008C3AA6"/>
    <w:rsid w:val="008C7523"/>
    <w:rsid w:val="008D3E71"/>
    <w:rsid w:val="008D6AA8"/>
    <w:rsid w:val="008E2F11"/>
    <w:rsid w:val="008E6917"/>
    <w:rsid w:val="008F2E30"/>
    <w:rsid w:val="009136B8"/>
    <w:rsid w:val="00917885"/>
    <w:rsid w:val="00921E95"/>
    <w:rsid w:val="00922E41"/>
    <w:rsid w:val="00936E55"/>
    <w:rsid w:val="009409B5"/>
    <w:rsid w:val="00943638"/>
    <w:rsid w:val="0095035A"/>
    <w:rsid w:val="00952239"/>
    <w:rsid w:val="00952388"/>
    <w:rsid w:val="00960D83"/>
    <w:rsid w:val="0096319F"/>
    <w:rsid w:val="00991657"/>
    <w:rsid w:val="00994907"/>
    <w:rsid w:val="00994FC1"/>
    <w:rsid w:val="009A0E68"/>
    <w:rsid w:val="009A5F07"/>
    <w:rsid w:val="009B28AD"/>
    <w:rsid w:val="009B6DBD"/>
    <w:rsid w:val="009C199E"/>
    <w:rsid w:val="009D2B46"/>
    <w:rsid w:val="009E2D66"/>
    <w:rsid w:val="009E7C87"/>
    <w:rsid w:val="00A03933"/>
    <w:rsid w:val="00A07352"/>
    <w:rsid w:val="00A155B6"/>
    <w:rsid w:val="00A2388C"/>
    <w:rsid w:val="00A23FAE"/>
    <w:rsid w:val="00A244C8"/>
    <w:rsid w:val="00A414D9"/>
    <w:rsid w:val="00A43DDD"/>
    <w:rsid w:val="00A478E4"/>
    <w:rsid w:val="00A55756"/>
    <w:rsid w:val="00A56734"/>
    <w:rsid w:val="00A57D07"/>
    <w:rsid w:val="00A644A8"/>
    <w:rsid w:val="00A7104E"/>
    <w:rsid w:val="00A725B5"/>
    <w:rsid w:val="00A7551D"/>
    <w:rsid w:val="00A86298"/>
    <w:rsid w:val="00A90195"/>
    <w:rsid w:val="00A917ED"/>
    <w:rsid w:val="00AC3546"/>
    <w:rsid w:val="00AD5B8B"/>
    <w:rsid w:val="00B07D10"/>
    <w:rsid w:val="00B214FE"/>
    <w:rsid w:val="00B2284D"/>
    <w:rsid w:val="00B24442"/>
    <w:rsid w:val="00B25973"/>
    <w:rsid w:val="00B30280"/>
    <w:rsid w:val="00B37A74"/>
    <w:rsid w:val="00B7020D"/>
    <w:rsid w:val="00B72229"/>
    <w:rsid w:val="00BA2177"/>
    <w:rsid w:val="00BB1966"/>
    <w:rsid w:val="00BB302F"/>
    <w:rsid w:val="00BB3C61"/>
    <w:rsid w:val="00BB3EFD"/>
    <w:rsid w:val="00BD12D9"/>
    <w:rsid w:val="00BD5EAC"/>
    <w:rsid w:val="00BE19F9"/>
    <w:rsid w:val="00BE300C"/>
    <w:rsid w:val="00BF14ED"/>
    <w:rsid w:val="00BF6940"/>
    <w:rsid w:val="00C1465C"/>
    <w:rsid w:val="00C24885"/>
    <w:rsid w:val="00C30B15"/>
    <w:rsid w:val="00C41CB4"/>
    <w:rsid w:val="00C42554"/>
    <w:rsid w:val="00C46457"/>
    <w:rsid w:val="00C47754"/>
    <w:rsid w:val="00C55393"/>
    <w:rsid w:val="00C65A0E"/>
    <w:rsid w:val="00C809A2"/>
    <w:rsid w:val="00C80AAA"/>
    <w:rsid w:val="00C93709"/>
    <w:rsid w:val="00C95D46"/>
    <w:rsid w:val="00C965D6"/>
    <w:rsid w:val="00CA3049"/>
    <w:rsid w:val="00CB0AE5"/>
    <w:rsid w:val="00CC1C12"/>
    <w:rsid w:val="00CD0698"/>
    <w:rsid w:val="00CD3D3C"/>
    <w:rsid w:val="00CF02A7"/>
    <w:rsid w:val="00D0305A"/>
    <w:rsid w:val="00D212A0"/>
    <w:rsid w:val="00D25F55"/>
    <w:rsid w:val="00D35BCF"/>
    <w:rsid w:val="00D57A4B"/>
    <w:rsid w:val="00D57FD1"/>
    <w:rsid w:val="00D639DF"/>
    <w:rsid w:val="00D71EEB"/>
    <w:rsid w:val="00D83645"/>
    <w:rsid w:val="00D87899"/>
    <w:rsid w:val="00DD18FC"/>
    <w:rsid w:val="00DD35D5"/>
    <w:rsid w:val="00DF6FC2"/>
    <w:rsid w:val="00E02664"/>
    <w:rsid w:val="00E04BDF"/>
    <w:rsid w:val="00E145E0"/>
    <w:rsid w:val="00E30E8F"/>
    <w:rsid w:val="00E4474E"/>
    <w:rsid w:val="00E529FA"/>
    <w:rsid w:val="00E611AF"/>
    <w:rsid w:val="00E65A45"/>
    <w:rsid w:val="00E87A5F"/>
    <w:rsid w:val="00E87A9B"/>
    <w:rsid w:val="00E9334B"/>
    <w:rsid w:val="00E97845"/>
    <w:rsid w:val="00EC3F2F"/>
    <w:rsid w:val="00ED3005"/>
    <w:rsid w:val="00EE7CCF"/>
    <w:rsid w:val="00EF00FC"/>
    <w:rsid w:val="00EF0571"/>
    <w:rsid w:val="00EF1E61"/>
    <w:rsid w:val="00EF5DA9"/>
    <w:rsid w:val="00EF7B8C"/>
    <w:rsid w:val="00EF7CD9"/>
    <w:rsid w:val="00F07FB2"/>
    <w:rsid w:val="00F10510"/>
    <w:rsid w:val="00F13557"/>
    <w:rsid w:val="00F15652"/>
    <w:rsid w:val="00F15A4B"/>
    <w:rsid w:val="00F20DAB"/>
    <w:rsid w:val="00F216CC"/>
    <w:rsid w:val="00F34A64"/>
    <w:rsid w:val="00F379DD"/>
    <w:rsid w:val="00F52694"/>
    <w:rsid w:val="00F65FAD"/>
    <w:rsid w:val="00F664A7"/>
    <w:rsid w:val="00F672AC"/>
    <w:rsid w:val="00F74209"/>
    <w:rsid w:val="00F81F01"/>
    <w:rsid w:val="00F85F70"/>
    <w:rsid w:val="00F91F38"/>
    <w:rsid w:val="00F947DB"/>
    <w:rsid w:val="00FA2487"/>
    <w:rsid w:val="00FA5447"/>
    <w:rsid w:val="00FC0B04"/>
    <w:rsid w:val="00FC558A"/>
    <w:rsid w:val="00FC7FFA"/>
    <w:rsid w:val="00FE2C0E"/>
    <w:rsid w:val="00FF033A"/>
    <w:rsid w:val="00FF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FA45"/>
  <w15:docId w15:val="{EB46C335-628E-4A7A-92BF-4F5B5008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5D6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54130"/>
    <w:pPr>
      <w:keepNext/>
      <w:spacing w:after="0" w:line="240" w:lineRule="auto"/>
      <w:jc w:val="center"/>
      <w:outlineLvl w:val="0"/>
    </w:pPr>
    <w:rPr>
      <w:rFonts w:ascii="Times" w:hAnsi="Times"/>
      <w:noProof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554130"/>
    <w:pPr>
      <w:keepNext/>
      <w:spacing w:after="0" w:line="240" w:lineRule="auto"/>
      <w:outlineLvl w:val="2"/>
    </w:pPr>
    <w:rPr>
      <w:rFonts w:ascii="Times" w:hAnsi="Times"/>
      <w:sz w:val="28"/>
      <w:szCs w:val="20"/>
      <w:lang w:val="uk-UA" w:eastAsia="x-none"/>
    </w:rPr>
  </w:style>
  <w:style w:type="paragraph" w:styleId="4">
    <w:name w:val="heading 4"/>
    <w:basedOn w:val="a"/>
    <w:next w:val="a"/>
    <w:link w:val="40"/>
    <w:unhideWhenUsed/>
    <w:qFormat/>
    <w:rsid w:val="00554130"/>
    <w:pPr>
      <w:keepNext/>
      <w:spacing w:after="0" w:line="240" w:lineRule="auto"/>
      <w:jc w:val="both"/>
      <w:outlineLvl w:val="3"/>
    </w:pPr>
    <w:rPr>
      <w:rFonts w:ascii="Times New Roman" w:hAnsi="Times New Roman"/>
      <w:b/>
      <w:sz w:val="24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4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rsid w:val="00554130"/>
    <w:rPr>
      <w:rFonts w:ascii="Times" w:eastAsia="Times New Roman" w:hAnsi="Times" w:cs="Times New Roman"/>
      <w:noProof/>
      <w:sz w:val="24"/>
      <w:szCs w:val="20"/>
    </w:rPr>
  </w:style>
  <w:style w:type="character" w:customStyle="1" w:styleId="30">
    <w:name w:val="Заголовок 3 Знак"/>
    <w:link w:val="3"/>
    <w:rsid w:val="00554130"/>
    <w:rPr>
      <w:rFonts w:ascii="Times" w:eastAsia="Times New Roman" w:hAnsi="Times" w:cs="Times New Roman"/>
      <w:sz w:val="28"/>
      <w:szCs w:val="20"/>
      <w:lang w:val="uk-UA"/>
    </w:rPr>
  </w:style>
  <w:style w:type="character" w:customStyle="1" w:styleId="40">
    <w:name w:val="Заголовок 4 Знак"/>
    <w:link w:val="4"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2">
    <w:name w:val="Body Text 2"/>
    <w:basedOn w:val="a"/>
    <w:link w:val="20"/>
    <w:semiHidden/>
    <w:unhideWhenUsed/>
    <w:rsid w:val="00554130"/>
    <w:pPr>
      <w:spacing w:after="0" w:line="240" w:lineRule="auto"/>
    </w:pPr>
    <w:rPr>
      <w:rFonts w:ascii="Times New Roman" w:hAnsi="Times New Roman"/>
      <w:b/>
      <w:sz w:val="24"/>
      <w:szCs w:val="20"/>
      <w:lang w:val="uk-UA" w:eastAsia="x-none"/>
    </w:rPr>
  </w:style>
  <w:style w:type="character" w:customStyle="1" w:styleId="20">
    <w:name w:val="Основний текст 2 Знак"/>
    <w:link w:val="2"/>
    <w:semiHidden/>
    <w:rsid w:val="00554130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5413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554130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10B9F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810B9F"/>
  </w:style>
  <w:style w:type="paragraph" w:styleId="a8">
    <w:name w:val="Body Text Indent"/>
    <w:basedOn w:val="a"/>
    <w:link w:val="a9"/>
    <w:uiPriority w:val="99"/>
    <w:unhideWhenUsed/>
    <w:rsid w:val="007528C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9">
    <w:name w:val="Основний текст з відступом Знак"/>
    <w:link w:val="a8"/>
    <w:uiPriority w:val="99"/>
    <w:rsid w:val="007528CA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7852B3"/>
    <w:pPr>
      <w:widowControl w:val="0"/>
      <w:autoSpaceDE w:val="0"/>
      <w:autoSpaceDN w:val="0"/>
      <w:adjustRightInd w:val="0"/>
      <w:spacing w:after="0" w:line="319" w:lineRule="exact"/>
      <w:ind w:hanging="1958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78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7852B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7852B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852B3"/>
    <w:rPr>
      <w:rFonts w:ascii="Times New Roman" w:hAnsi="Times New Roman" w:cs="Times New Roman"/>
      <w:b/>
      <w:bCs/>
      <w:sz w:val="22"/>
      <w:szCs w:val="22"/>
    </w:rPr>
  </w:style>
  <w:style w:type="paragraph" w:styleId="HTML">
    <w:name w:val="HTML Preformatted"/>
    <w:basedOn w:val="a"/>
    <w:link w:val="HTML0"/>
    <w:rsid w:val="00643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643026"/>
    <w:rPr>
      <w:rFonts w:ascii="Courier New" w:eastAsia="Arial Unicode MS" w:hAnsi="Courier New" w:cs="Times New Roman"/>
      <w:sz w:val="20"/>
      <w:szCs w:val="20"/>
    </w:rPr>
  </w:style>
  <w:style w:type="paragraph" w:customStyle="1" w:styleId="FR1">
    <w:name w:val="FR1"/>
    <w:rsid w:val="00BE19F9"/>
    <w:pPr>
      <w:widowControl w:val="0"/>
      <w:autoSpaceDE w:val="0"/>
      <w:autoSpaceDN w:val="0"/>
      <w:adjustRightInd w:val="0"/>
      <w:spacing w:line="338" w:lineRule="auto"/>
      <w:ind w:left="920" w:right="1000"/>
      <w:jc w:val="center"/>
    </w:pPr>
    <w:rPr>
      <w:rFonts w:ascii="Arial" w:hAnsi="Arial" w:cs="Arial"/>
      <w:b/>
      <w:bCs/>
      <w:sz w:val="22"/>
      <w:szCs w:val="22"/>
      <w:lang w:eastAsia="ru-RU"/>
    </w:rPr>
  </w:style>
  <w:style w:type="paragraph" w:styleId="aa">
    <w:name w:val="Normal (Web)"/>
    <w:basedOn w:val="a"/>
    <w:rsid w:val="00BE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qFormat/>
    <w:rsid w:val="00BE19F9"/>
    <w:rPr>
      <w:b/>
      <w:bCs/>
    </w:rPr>
  </w:style>
  <w:style w:type="paragraph" w:customStyle="1" w:styleId="ParagraphStyle">
    <w:name w:val="Paragraph Style"/>
    <w:rsid w:val="00BE19F9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E19F9"/>
    <w:rPr>
      <w:rFonts w:cs="Courier New"/>
      <w:color w:val="000000"/>
      <w:sz w:val="20"/>
      <w:szCs w:val="20"/>
    </w:rPr>
  </w:style>
  <w:style w:type="paragraph" w:customStyle="1" w:styleId="ndfhfb-c4yzdc-cysp0e-darucf-df1zy-eegnhe">
    <w:name w:val="ndfhfb-c4yzdc-cysp0e-darucf-df1zy-eegnhe"/>
    <w:basedOn w:val="a"/>
    <w:rsid w:val="00687D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F0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4C0DC-B690-4BA2-9C5E-87AD28516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8189</Words>
  <Characters>4669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2024-10-29T06:21:00Z</cp:lastPrinted>
  <dcterms:created xsi:type="dcterms:W3CDTF">2025-11-18T13:57:00Z</dcterms:created>
  <dcterms:modified xsi:type="dcterms:W3CDTF">2025-11-18T13:57:00Z</dcterms:modified>
</cp:coreProperties>
</file>