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617326" w:rsidRPr="00617326" w:rsidRDefault="0061732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17326" w:rsidRPr="00617326" w:rsidRDefault="00356A4D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Дата розгляду 22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10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.2025</w:t>
      </w:r>
    </w:p>
    <w:p w:rsidR="00617326" w:rsidRPr="00617326" w:rsidRDefault="0061732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352314" w:rsidRPr="0038075A" w:rsidTr="0027329B">
        <w:trPr>
          <w:trHeight w:val="609"/>
        </w:trPr>
        <w:tc>
          <w:tcPr>
            <w:tcW w:w="6237" w:type="dxa"/>
          </w:tcPr>
          <w:p w:rsidR="00352314" w:rsidRPr="0038075A" w:rsidRDefault="00356A4D" w:rsidP="0038075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6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 зарахування на баланс Управління житлово-комунального господарства Роменської міської ради пішохідного мосту</w:t>
            </w:r>
          </w:p>
        </w:tc>
      </w:tr>
    </w:tbl>
    <w:p w:rsidR="0038075A" w:rsidRDefault="0038075A" w:rsidP="00352314">
      <w:pPr>
        <w:pStyle w:val="a3"/>
        <w:spacing w:after="0" w:line="276" w:lineRule="auto"/>
        <w:ind w:left="0" w:firstLine="567"/>
        <w:jc w:val="both"/>
      </w:pPr>
    </w:p>
    <w:p w:rsidR="00356A4D" w:rsidRDefault="00356A4D" w:rsidP="00356A4D">
      <w:pPr>
        <w:pStyle w:val="a3"/>
        <w:spacing w:before="120" w:line="276" w:lineRule="auto"/>
        <w:ind w:left="0" w:firstLine="567"/>
        <w:jc w:val="both"/>
      </w:pPr>
      <w:r w:rsidRPr="00B53B58">
        <w:t>Відповідно до статей 26, 60 Закону України «Про місцеве самовря</w:t>
      </w:r>
      <w:r>
        <w:t>дування в Україні», Закону України «Про благоустрій населених пунктів», Національного положення (стандарту) бухгалтерського обліку в державному секторі 121 «Основні засоби», затвердженого Наказом Міністерства фінансів України 12.10.2010 № 1202, зареєстрованого в Міністерстві юстиції України 01.11.2010 за № 1017/18312,</w:t>
      </w:r>
      <w:r w:rsidRPr="00B53B58">
        <w:t xml:space="preserve"> з метою </w:t>
      </w:r>
      <w:r>
        <w:t xml:space="preserve">відновлення експлуатаційного стану об’єкту </w:t>
      </w:r>
      <w:proofErr w:type="spellStart"/>
      <w:r>
        <w:t>вулично</w:t>
      </w:r>
      <w:proofErr w:type="spellEnd"/>
      <w:r>
        <w:t xml:space="preserve">-дорожньої мережі – пішохідного мосту через річку </w:t>
      </w:r>
      <w:proofErr w:type="spellStart"/>
      <w:r>
        <w:t>Роменку</w:t>
      </w:r>
      <w:proofErr w:type="spellEnd"/>
      <w:r>
        <w:t xml:space="preserve"> в м. Ромни та забезпечення безпечного руху пішоходів </w:t>
      </w:r>
    </w:p>
    <w:p w:rsidR="00356A4D" w:rsidRDefault="00356A4D" w:rsidP="00356A4D">
      <w:pPr>
        <w:pStyle w:val="a3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356A4D" w:rsidRDefault="00356A4D" w:rsidP="00356A4D">
      <w:pPr>
        <w:pStyle w:val="a3"/>
        <w:numPr>
          <w:ilvl w:val="0"/>
          <w:numId w:val="3"/>
        </w:numPr>
        <w:tabs>
          <w:tab w:val="clear" w:pos="928"/>
          <w:tab w:val="num" w:pos="567"/>
          <w:tab w:val="left" w:pos="851"/>
        </w:tabs>
        <w:spacing w:line="271" w:lineRule="auto"/>
        <w:ind w:left="0" w:firstLine="567"/>
        <w:jc w:val="both"/>
      </w:pPr>
      <w:r>
        <w:t xml:space="preserve">Зарахувати на баланс Управління житлово-комунального господарства Роменської міської ради об’єкт </w:t>
      </w:r>
      <w:proofErr w:type="spellStart"/>
      <w:r>
        <w:t>вулично</w:t>
      </w:r>
      <w:proofErr w:type="spellEnd"/>
      <w:r>
        <w:t xml:space="preserve">-дорожньої мережі – пішохідний міст через річку </w:t>
      </w:r>
      <w:proofErr w:type="spellStart"/>
      <w:r>
        <w:t>Роменку</w:t>
      </w:r>
      <w:proofErr w:type="spellEnd"/>
      <w:r>
        <w:t xml:space="preserve"> в місті Ромни (між мікрорайоном «</w:t>
      </w:r>
      <w:proofErr w:type="spellStart"/>
      <w:r>
        <w:t>Процівка</w:t>
      </w:r>
      <w:proofErr w:type="spellEnd"/>
      <w:r>
        <w:t>» та центральною частиною міста) оціночною вартістю згідно Звіту про оцінку майна станом на 01 жовтня 2025 року 30 600 грн 00 коп. (тридцять тисяч шістсот гривень 00 коп.).</w:t>
      </w:r>
    </w:p>
    <w:p w:rsidR="00356A4D" w:rsidRDefault="00356A4D" w:rsidP="00356A4D">
      <w:pPr>
        <w:pStyle w:val="a3"/>
        <w:numPr>
          <w:ilvl w:val="0"/>
          <w:numId w:val="3"/>
        </w:numPr>
        <w:tabs>
          <w:tab w:val="clear" w:pos="928"/>
          <w:tab w:val="left" w:pos="0"/>
          <w:tab w:val="left" w:pos="567"/>
          <w:tab w:val="left" w:pos="709"/>
          <w:tab w:val="num" w:pos="851"/>
        </w:tabs>
        <w:spacing w:line="271" w:lineRule="auto"/>
        <w:ind w:left="0" w:firstLine="567"/>
        <w:jc w:val="both"/>
      </w:pPr>
      <w:r>
        <w:t xml:space="preserve">Доручити Управлінню житлово-комунального господарства Роменської міської ради забезпечити облік мосту як основного засобу та </w:t>
      </w:r>
      <w:proofErr w:type="spellStart"/>
      <w:r>
        <w:t>внести</w:t>
      </w:r>
      <w:proofErr w:type="spellEnd"/>
      <w:r>
        <w:t xml:space="preserve"> відповідні дані до бухгалтерського обліку. </w:t>
      </w:r>
    </w:p>
    <w:p w:rsidR="00617326" w:rsidRDefault="00356A4D" w:rsidP="00356A4D">
      <w:pPr>
        <w:pStyle w:val="a3"/>
        <w:numPr>
          <w:ilvl w:val="0"/>
          <w:numId w:val="3"/>
        </w:numPr>
        <w:tabs>
          <w:tab w:val="clear" w:pos="928"/>
          <w:tab w:val="left" w:pos="0"/>
          <w:tab w:val="left" w:pos="567"/>
          <w:tab w:val="left" w:pos="709"/>
          <w:tab w:val="num" w:pos="851"/>
        </w:tabs>
        <w:spacing w:line="271" w:lineRule="auto"/>
        <w:ind w:left="0" w:firstLine="567"/>
        <w:jc w:val="both"/>
      </w:pPr>
      <w:r>
        <w:t xml:space="preserve">Контроль за виконанням рішення покласти на постійну комісію з питань бюджету, економічного розвитку, комунальної власності та регуляторної політики та постійну комісію з питань розвитку інфраструктури, містобудування та архітектури. </w:t>
      </w:r>
    </w:p>
    <w:p w:rsidR="00356A4D" w:rsidRPr="00356A4D" w:rsidRDefault="00356A4D" w:rsidP="00356A4D">
      <w:pPr>
        <w:pStyle w:val="a3"/>
        <w:tabs>
          <w:tab w:val="left" w:pos="0"/>
          <w:tab w:val="left" w:pos="567"/>
          <w:tab w:val="left" w:pos="709"/>
        </w:tabs>
        <w:spacing w:line="271" w:lineRule="auto"/>
        <w:ind w:left="567"/>
        <w:jc w:val="both"/>
      </w:pPr>
    </w:p>
    <w:p w:rsidR="00617326" w:rsidRPr="00617326" w:rsidRDefault="00617326" w:rsidP="00617326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Pr="00617326" w:rsidRDefault="00617326" w:rsidP="00617326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5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617326" w:rsidRPr="00617326" w:rsidRDefault="00617326" w:rsidP="00617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617326" w:rsidRDefault="00617326" w:rsidP="00617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617326" w:rsidRDefault="00617326" w:rsidP="00617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617326" w:rsidRDefault="00617326" w:rsidP="00617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617326" w:rsidRDefault="00617326" w:rsidP="00617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617326" w:rsidRDefault="00617326" w:rsidP="00617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617326" w:rsidRDefault="00617326" w:rsidP="00617326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AA473C" w:rsidRDefault="00AA473C" w:rsidP="00352314">
      <w:pPr>
        <w:tabs>
          <w:tab w:val="left" w:pos="2970"/>
        </w:tabs>
        <w:rPr>
          <w:lang w:val="uk-UA"/>
        </w:rPr>
      </w:pPr>
    </w:p>
    <w:p w:rsidR="00AA473C" w:rsidRDefault="00AA473C" w:rsidP="00AA473C">
      <w:pPr>
        <w:tabs>
          <w:tab w:val="left" w:pos="3594"/>
        </w:tabs>
        <w:rPr>
          <w:lang w:val="uk-UA"/>
        </w:rPr>
      </w:pPr>
    </w:p>
    <w:p w:rsidR="00C546C3" w:rsidRDefault="00C546C3" w:rsidP="00AA473C">
      <w:pPr>
        <w:tabs>
          <w:tab w:val="left" w:pos="3594"/>
        </w:tabs>
        <w:rPr>
          <w:lang w:val="uk-UA"/>
        </w:rPr>
      </w:pPr>
      <w:bookmarkStart w:id="0" w:name="_GoBack"/>
      <w:bookmarkEnd w:id="0"/>
    </w:p>
    <w:p w:rsidR="00AA473C" w:rsidRDefault="00AA473C" w:rsidP="00AA473C">
      <w:pPr>
        <w:tabs>
          <w:tab w:val="left" w:pos="3594"/>
        </w:tabs>
        <w:rPr>
          <w:lang w:val="uk-UA"/>
        </w:rPr>
      </w:pPr>
    </w:p>
    <w:p w:rsidR="00AA473C" w:rsidRPr="00AA473C" w:rsidRDefault="00AA473C" w:rsidP="00AA47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AA4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ПОЯСНЮВАЛЬНА ЗАПИСКА</w:t>
      </w:r>
    </w:p>
    <w:p w:rsidR="00AA473C" w:rsidRPr="00AA473C" w:rsidRDefault="00AA473C" w:rsidP="00AA47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A4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до </w:t>
      </w:r>
      <w:proofErr w:type="spellStart"/>
      <w:r w:rsidRPr="00AA4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проєкту</w:t>
      </w:r>
      <w:proofErr w:type="spellEnd"/>
      <w:r w:rsidRPr="00AA4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рішення Роменської міської ради «</w:t>
      </w:r>
      <w:r w:rsidRPr="00AA473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визнання таким, що втратило</w:t>
      </w:r>
    </w:p>
    <w:p w:rsidR="00AA473C" w:rsidRPr="00AA473C" w:rsidRDefault="00AA473C" w:rsidP="00AA47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A473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чинність рішення міської ради»</w:t>
      </w:r>
    </w:p>
    <w:p w:rsidR="00AA473C" w:rsidRPr="00AA473C" w:rsidRDefault="00AA473C" w:rsidP="00AA47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AA473C" w:rsidRPr="00AA473C" w:rsidRDefault="00AA473C" w:rsidP="00AA47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AA47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Відповідно до частини 1 статті 40 Закону України «Про регулювання містобудівної діяльності» (в редакції станом на 16.10.2019) органи місцевого самоврядування мали повноваження встановлювати порядок, розрахунки розміру і використання коштів пайової участі замовників будівництва у розвитку інфраструктури населеного пункту.</w:t>
      </w:r>
    </w:p>
    <w:p w:rsidR="00AA473C" w:rsidRPr="00AA473C" w:rsidRDefault="00AA473C" w:rsidP="00AA473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A47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uk-UA"/>
        </w:rPr>
        <w:t xml:space="preserve">Законом України </w:t>
      </w:r>
      <w:r w:rsidRPr="00AA47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uk-UA"/>
        </w:rPr>
        <w:t>«</w:t>
      </w:r>
      <w:r w:rsidRPr="00AA473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uk-UA"/>
        </w:rPr>
        <w:t>Про внесення змін до деяких законодавчих актів України щодо стимулювання інвестиційної діяльності в Україні», який набрав чинності 17.10.2019, стаття 40</w:t>
      </w:r>
      <w:r w:rsidRPr="00AA473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uk-UA"/>
        </w:rPr>
        <w:t xml:space="preserve"> Закону України «Про регулювання містобудівної діяльності»</w:t>
      </w:r>
      <w:r w:rsidRPr="00AA473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 w:eastAsia="uk-UA"/>
        </w:rPr>
        <w:t xml:space="preserve"> була виключена. У зв’язку з цим рішення міської ради </w:t>
      </w:r>
      <w:r w:rsidRPr="00AA473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від 29.04.2015 «Про затвердження Положення про пайову участь замовників будівництва у створенні і розвитку інженерно-транспортної та соціальної інфраструктури міста» необхідно визнати таким, що втратило чинність. </w:t>
      </w:r>
    </w:p>
    <w:p w:rsidR="00AA473C" w:rsidRPr="00AA473C" w:rsidRDefault="00AA473C" w:rsidP="00AA4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AA473C" w:rsidRPr="00AA473C" w:rsidRDefault="00AA473C" w:rsidP="00AA4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A473C" w:rsidRPr="00AA473C" w:rsidRDefault="00AA473C" w:rsidP="00AA473C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A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AA473C" w:rsidRPr="00AA473C" w:rsidRDefault="00AA473C" w:rsidP="00AA473C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A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AA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AA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AA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AA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Олена ГРЕБЕНЮК</w:t>
      </w:r>
    </w:p>
    <w:p w:rsidR="00AA473C" w:rsidRPr="00AA473C" w:rsidRDefault="00AA473C" w:rsidP="00AA473C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AA473C" w:rsidRPr="00AA473C" w:rsidRDefault="00AA473C" w:rsidP="00AA473C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A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AA473C" w:rsidRPr="00AA473C" w:rsidRDefault="00AA473C" w:rsidP="00AA473C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AA47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AA47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AA473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Наталія МОСКАЛЕНКО</w:t>
      </w:r>
    </w:p>
    <w:p w:rsidR="00AA473C" w:rsidRPr="00AA473C" w:rsidRDefault="00AA473C" w:rsidP="00AA473C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A473C" w:rsidRDefault="00AA473C" w:rsidP="00AA473C">
      <w:pPr>
        <w:tabs>
          <w:tab w:val="left" w:pos="3594"/>
        </w:tabs>
        <w:rPr>
          <w:lang w:val="uk-UA"/>
        </w:rPr>
      </w:pPr>
    </w:p>
    <w:p w:rsidR="00AA473C" w:rsidRDefault="00AA473C" w:rsidP="00AA473C">
      <w:pPr>
        <w:tabs>
          <w:tab w:val="left" w:pos="3594"/>
        </w:tabs>
        <w:rPr>
          <w:lang w:val="uk-UA"/>
        </w:rPr>
      </w:pPr>
    </w:p>
    <w:p w:rsidR="00AA473C" w:rsidRDefault="00AA473C" w:rsidP="00AA473C">
      <w:pPr>
        <w:tabs>
          <w:tab w:val="left" w:pos="3594"/>
        </w:tabs>
        <w:rPr>
          <w:lang w:val="uk-UA"/>
        </w:rPr>
      </w:pPr>
    </w:p>
    <w:p w:rsidR="00AA473C" w:rsidRPr="00AA473C" w:rsidRDefault="00AA473C" w:rsidP="00AA473C">
      <w:pPr>
        <w:tabs>
          <w:tab w:val="left" w:pos="3594"/>
        </w:tabs>
        <w:rPr>
          <w:lang w:val="uk-UA"/>
        </w:rPr>
      </w:pPr>
    </w:p>
    <w:sectPr w:rsidR="00AA473C" w:rsidRPr="00AA473C" w:rsidSect="00AA473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30212E"/>
    <w:rsid w:val="00352314"/>
    <w:rsid w:val="00356A4D"/>
    <w:rsid w:val="0038075A"/>
    <w:rsid w:val="00544BF5"/>
    <w:rsid w:val="00617326"/>
    <w:rsid w:val="009C7612"/>
    <w:rsid w:val="00AA473C"/>
    <w:rsid w:val="00BE0A8A"/>
    <w:rsid w:val="00C546C3"/>
    <w:rsid w:val="00E46770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913FA-75B6-4657-877E-88D033D8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mailspot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2025-10-20T06:27:00Z</cp:lastPrinted>
  <dcterms:created xsi:type="dcterms:W3CDTF">2025-10-20T06:28:00Z</dcterms:created>
  <dcterms:modified xsi:type="dcterms:W3CDTF">2025-10-20T06:28:00Z</dcterms:modified>
</cp:coreProperties>
</file>