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E1" w:rsidRDefault="00C205E1" w:rsidP="00E24868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C205E1" w:rsidRDefault="00C205E1" w:rsidP="00E24868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C205E1" w:rsidRDefault="00C205E1" w:rsidP="00C205E1">
      <w:pPr>
        <w:keepNext/>
        <w:spacing w:line="240" w:lineRule="auto"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6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05498F" w:rsidRPr="0005498F" w:rsidRDefault="00385E4A" w:rsidP="0005498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9A321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05498F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7230E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7F379D">
        <w:rPr>
          <w:rFonts w:ascii="Times New Roman" w:hAnsi="Times New Roman"/>
          <w:sz w:val="24"/>
          <w:szCs w:val="24"/>
          <w:lang w:val="uk-UA"/>
        </w:rPr>
        <w:t>9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sz w:val="24"/>
          <w:szCs w:val="24"/>
          <w:lang w:val="uk-UA"/>
        </w:rPr>
        <w:t xml:space="preserve">в новій редакції </w:t>
      </w:r>
      <w:r w:rsidR="0005498F" w:rsidRPr="0005498F">
        <w:rPr>
          <w:rFonts w:ascii="Times New Roman" w:hAnsi="Times New Roman"/>
          <w:sz w:val="24"/>
          <w:szCs w:val="24"/>
          <w:lang w:val="uk-UA"/>
        </w:rPr>
        <w:t>згідно з додатком 2 до цього рішення.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05E1" w:rsidRDefault="00C205E1" w:rsidP="00C2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Валерій</w:t>
      </w:r>
      <w:proofErr w:type="spellEnd"/>
      <w:r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C205E1" w:rsidRDefault="00C205E1" w:rsidP="00C20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6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2,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22, тел. 5 32 69 та за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7852B3" w:rsidRPr="00C205E1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A321F" w:rsidRDefault="009A321F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205E1" w:rsidRDefault="00C205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927762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A7230E" w:rsidRDefault="00A7230E" w:rsidP="00A7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30E">
              <w:rPr>
                <w:rFonts w:ascii="Times New Roman" w:hAnsi="Times New Roman"/>
                <w:sz w:val="24"/>
                <w:szCs w:val="24"/>
                <w:lang w:val="uk-UA"/>
              </w:rPr>
              <w:t>5192</w:t>
            </w:r>
            <w:r w:rsidR="004E7BFA" w:rsidRPr="00A7230E">
              <w:rPr>
                <w:rFonts w:ascii="Times New Roman" w:hAnsi="Times New Roman"/>
                <w:sz w:val="24"/>
                <w:szCs w:val="24"/>
                <w:lang w:val="uk-UA"/>
              </w:rPr>
              <w:t>,7</w:t>
            </w:r>
            <w:r w:rsidRPr="00A723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E7BFA" w:rsidRPr="00A723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52F75" w:rsidRPr="00A72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C205E1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45564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A7230E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C20198" w:rsidRPr="00CB67FD" w:rsidTr="0099554B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99554B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99554B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98F" w:rsidRPr="00CB67FD" w:rsidTr="0099554B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498F" w:rsidRPr="00857999" w:rsidRDefault="0005498F" w:rsidP="005232C6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F" w:rsidRPr="00857999" w:rsidRDefault="0005498F" w:rsidP="005232C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D7229" w:rsidRPr="00CB67FD" w:rsidTr="00A7230E">
        <w:trPr>
          <w:cantSplit/>
          <w:trHeight w:val="367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autoSpaceDE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05498F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Виготовлення </w:t>
            </w:r>
            <w:proofErr w:type="spellStart"/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</w:t>
            </w:r>
            <w:r w:rsidR="004E72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ктно-кошторисної</w:t>
            </w:r>
            <w:proofErr w:type="spellEnd"/>
            <w:r w:rsidRPr="000549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8B1ABA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A7230E" w:rsidP="00A7230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</w:t>
            </w:r>
            <w:r w:rsidR="003D7229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A7230E" w:rsidP="00A7230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</w:t>
            </w:r>
            <w:r w:rsidR="004068EE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05498F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7229" w:rsidRPr="00CB67FD" w:rsidRDefault="003D7229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A7230E" w:rsidRPr="00CB67FD" w:rsidTr="00A7230E">
        <w:trPr>
          <w:cantSplit/>
          <w:trHeight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0E" w:rsidRPr="00857999" w:rsidRDefault="00A7230E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230E" w:rsidRPr="00857999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7230E" w:rsidRPr="00CB67FD" w:rsidTr="0099554B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CB67FD" w:rsidRDefault="00A7230E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A7230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5192,723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A72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3599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30E" w:rsidRPr="00B87FC2" w:rsidRDefault="00A7230E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230E" w:rsidRPr="00CB67FD" w:rsidRDefault="00A7230E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321F" w:rsidRDefault="009A321F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229" w:rsidRDefault="00C205E1" w:rsidP="009A321F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Default="00ED2D79" w:rsidP="003D722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E05DE4">
          <w:headerReference w:type="default" r:id="rId10"/>
          <w:pgSz w:w="16838" w:h="11906" w:orient="landscape"/>
          <w:pgMar w:top="1701" w:right="425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Pr="00FB6893" w:rsidRDefault="0005498F" w:rsidP="00A7230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A7230E">
        <w:rPr>
          <w:rFonts w:ascii="Times New Roman" w:hAnsi="Times New Roman"/>
          <w:bCs/>
          <w:sz w:val="24"/>
          <w:szCs w:val="24"/>
          <w:lang w:val="uk-UA"/>
        </w:rPr>
        <w:t>внесеними змінами від 28.05.2025, а саме обсяг фінансування на 2025 рік по пункту 9 «</w:t>
      </w:r>
      <w:r w:rsidR="00A7230E"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Виготовлення проектно-кошторисної документації по об’єкту: «Нове будівництво місцевої автоматизованої системи централізованого оповіщення (МАСЦО) в населених пунктах Роменської міської територіальної громади Роменського району Сумської області»</w:t>
      </w:r>
      <w:r w:rsidR="00A7230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зменшити на суму 2,066 тис. грн (було 500,0 тис. грн, стало 497,934 тис. грн). </w:t>
      </w:r>
      <w:r w:rsidR="004E72FF" w:rsidRPr="00FB68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Кошти будуть направлені для </w:t>
      </w:r>
      <w:r w:rsidR="00754397" w:rsidRPr="00FB68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втілення заходів Програми обороноздатності і безпеки держави у період дії воєнного стану на 2025 рік.</w:t>
      </w:r>
    </w:p>
    <w:p w:rsidR="007433D9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4397" w:rsidRPr="00D55A00" w:rsidRDefault="00754397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9A321F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31" w:rsidRDefault="00183E31">
      <w:pPr>
        <w:spacing w:after="0" w:line="240" w:lineRule="auto"/>
      </w:pPr>
      <w:r>
        <w:separator/>
      </w:r>
    </w:p>
  </w:endnote>
  <w:endnote w:type="continuationSeparator" w:id="0">
    <w:p w:rsidR="00183E31" w:rsidRDefault="0018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31" w:rsidRDefault="00183E31">
      <w:pPr>
        <w:spacing w:after="0" w:line="240" w:lineRule="auto"/>
      </w:pPr>
      <w:r>
        <w:separator/>
      </w:r>
    </w:p>
  </w:footnote>
  <w:footnote w:type="continuationSeparator" w:id="0">
    <w:p w:rsidR="00183E31" w:rsidRDefault="0018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83E31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47A07"/>
    <w:rsid w:val="00452F75"/>
    <w:rsid w:val="00455644"/>
    <w:rsid w:val="00460153"/>
    <w:rsid w:val="00464089"/>
    <w:rsid w:val="0048331A"/>
    <w:rsid w:val="00483EEF"/>
    <w:rsid w:val="004E72FF"/>
    <w:rsid w:val="004E7BFA"/>
    <w:rsid w:val="0050765F"/>
    <w:rsid w:val="00525B93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F392A"/>
    <w:rsid w:val="00620D8A"/>
    <w:rsid w:val="006353B5"/>
    <w:rsid w:val="00643026"/>
    <w:rsid w:val="00674680"/>
    <w:rsid w:val="00730E1C"/>
    <w:rsid w:val="00736D86"/>
    <w:rsid w:val="007433D9"/>
    <w:rsid w:val="007528CA"/>
    <w:rsid w:val="00754397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22C5"/>
    <w:rsid w:val="00903A53"/>
    <w:rsid w:val="00927762"/>
    <w:rsid w:val="00940FAE"/>
    <w:rsid w:val="009430DF"/>
    <w:rsid w:val="009851E0"/>
    <w:rsid w:val="00990662"/>
    <w:rsid w:val="0099554B"/>
    <w:rsid w:val="009A321F"/>
    <w:rsid w:val="009C2E5F"/>
    <w:rsid w:val="009D0ED5"/>
    <w:rsid w:val="00A15B5A"/>
    <w:rsid w:val="00A403EB"/>
    <w:rsid w:val="00A478E4"/>
    <w:rsid w:val="00A56734"/>
    <w:rsid w:val="00A644A8"/>
    <w:rsid w:val="00A7230E"/>
    <w:rsid w:val="00A72ABB"/>
    <w:rsid w:val="00A917ED"/>
    <w:rsid w:val="00AA3BA7"/>
    <w:rsid w:val="00B37A74"/>
    <w:rsid w:val="00B601F3"/>
    <w:rsid w:val="00B74297"/>
    <w:rsid w:val="00B77DB9"/>
    <w:rsid w:val="00BD12D9"/>
    <w:rsid w:val="00BD5EAC"/>
    <w:rsid w:val="00BE19F9"/>
    <w:rsid w:val="00BF544F"/>
    <w:rsid w:val="00C20198"/>
    <w:rsid w:val="00C205E1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9537E"/>
    <w:rsid w:val="00E9666F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6893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2024-11-17T08:51:00Z</cp:lastPrinted>
  <dcterms:created xsi:type="dcterms:W3CDTF">2025-06-17T12:40:00Z</dcterms:created>
  <dcterms:modified xsi:type="dcterms:W3CDTF">2025-06-17T12:52:00Z</dcterms:modified>
</cp:coreProperties>
</file>