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2" w:rsidRPr="00C43062" w:rsidRDefault="00C43062" w:rsidP="00C43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906328F" wp14:editId="2DCE92E8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062" w:rsidRPr="00C43062" w:rsidRDefault="00C43062" w:rsidP="00C43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C43062" w:rsidRPr="00C43062" w:rsidRDefault="00C43062" w:rsidP="00C43062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C43062" w:rsidRPr="00C43062" w:rsidRDefault="00C43062" w:rsidP="00C43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43062" w:rsidRPr="00C43062" w:rsidRDefault="00C43062" w:rsidP="00C43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РІШЕННЯ</w:t>
      </w:r>
    </w:p>
    <w:p w:rsidR="00C43062" w:rsidRPr="00C43062" w:rsidRDefault="00C43062" w:rsidP="00C43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74"/>
        <w:gridCol w:w="157"/>
        <w:gridCol w:w="3013"/>
        <w:gridCol w:w="104"/>
      </w:tblGrid>
      <w:tr w:rsidR="00C43062" w:rsidRPr="00C43062" w:rsidTr="00CB17D3">
        <w:trPr>
          <w:gridAfter w:val="1"/>
          <w:wAfter w:w="104" w:type="dxa"/>
        </w:trPr>
        <w:tc>
          <w:tcPr>
            <w:tcW w:w="3190" w:type="dxa"/>
          </w:tcPr>
          <w:p w:rsidR="00C43062" w:rsidRPr="00C43062" w:rsidRDefault="00C43062" w:rsidP="00C43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19.03.2025</w:t>
            </w:r>
          </w:p>
        </w:tc>
        <w:tc>
          <w:tcPr>
            <w:tcW w:w="3174" w:type="dxa"/>
          </w:tcPr>
          <w:p w:rsidR="00C43062" w:rsidRPr="00C43062" w:rsidRDefault="00C43062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170" w:type="dxa"/>
            <w:gridSpan w:val="2"/>
          </w:tcPr>
          <w:p w:rsidR="00C43062" w:rsidRPr="00C43062" w:rsidRDefault="00C43062" w:rsidP="001C25AF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C2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46</w:t>
            </w:r>
            <w:bookmarkStart w:id="0" w:name="_GoBack"/>
            <w:bookmarkEnd w:id="0"/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46634C" w:rsidRPr="00C43062" w:rsidTr="00CB17D3">
        <w:tblPrEx>
          <w:tblLook w:val="04A0" w:firstRow="1" w:lastRow="0" w:firstColumn="1" w:lastColumn="0" w:noHBand="0" w:noVBand="1"/>
        </w:tblPrEx>
        <w:tc>
          <w:tcPr>
            <w:tcW w:w="6521" w:type="dxa"/>
            <w:gridSpan w:val="3"/>
          </w:tcPr>
          <w:p w:rsidR="000153A0" w:rsidRPr="00C43062" w:rsidRDefault="000153A0" w:rsidP="007014DF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46634C" w:rsidRPr="00C43062" w:rsidRDefault="0046634C" w:rsidP="007014DF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стан виконання рішення виконавчого комітету міської ради від 16.08.2023 № 125 «Про затвердження фінансових планів підприємств, що належать до комунальної власності Роменської міської територіальної громади, на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рік» за підсумками 2024 року</w:t>
            </w:r>
          </w:p>
        </w:tc>
        <w:tc>
          <w:tcPr>
            <w:tcW w:w="3117" w:type="dxa"/>
            <w:gridSpan w:val="2"/>
          </w:tcPr>
          <w:p w:rsidR="0046634C" w:rsidRPr="00C43062" w:rsidRDefault="0046634C" w:rsidP="004663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46634C" w:rsidRPr="00C43062" w:rsidRDefault="0046634C" w:rsidP="004663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пункту 1 та підпункту 6 пункту 3 підрозділу 2 розділу VIII </w:t>
      </w:r>
      <w:r w:rsidRPr="00C43062">
        <w:rPr>
          <w:rFonts w:ascii="Times New Roman" w:eastAsia="Calibri" w:hAnsi="Times New Roman" w:cs="Times New Roman"/>
          <w:sz w:val="24"/>
          <w:szCs w:val="24"/>
          <w:lang w:val="uk-UA"/>
        </w:rPr>
        <w:t>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 підставі звітів про виконання фінансових планів за 2024 рік, поданих комунальними підприємствами Роменської міської ради</w:t>
      </w:r>
    </w:p>
    <w:p w:rsidR="0046634C" w:rsidRPr="00C43062" w:rsidRDefault="0046634C" w:rsidP="0046634C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46634C" w:rsidRPr="00C43062" w:rsidRDefault="0046634C" w:rsidP="000E50E2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Узяти до відома інформацію Управління економічного розвитку Роменської міської ради про стан виконання рішення виконавчого комітету міської ради від 16.08.2023 № 125 «Про затвердження фінансових планів підприємств, що належать до комунальної власності Роменської міської територіальної громади, на 2024 рік» за підсумками 2024 року (додається).</w:t>
      </w:r>
    </w:p>
    <w:p w:rsidR="0046634C" w:rsidRPr="00C43062" w:rsidRDefault="0046634C" w:rsidP="000E50E2">
      <w:pPr>
        <w:numPr>
          <w:ilvl w:val="0"/>
          <w:numId w:val="1"/>
        </w:numPr>
        <w:shd w:val="clear" w:color="auto" w:fill="FEFEFE"/>
        <w:tabs>
          <w:tab w:val="left" w:pos="851"/>
        </w:tabs>
        <w:spacing w:after="120" w:line="276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46634C" w:rsidRPr="00C43062" w:rsidRDefault="0046634C" w:rsidP="00CB17D3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46634C" w:rsidRPr="00C43062" w:rsidRDefault="0046634C" w:rsidP="00CB17D3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46634C" w:rsidRPr="00C43062" w:rsidRDefault="0046634C" w:rsidP="00CB17D3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заходів щодо підвищення якості робіт та послуг</w:t>
      </w:r>
      <w:r w:rsidR="004803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надаються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34C" w:rsidRPr="00C43062" w:rsidRDefault="0046634C" w:rsidP="00CB17D3">
      <w:pPr>
        <w:numPr>
          <w:ilvl w:val="0"/>
          <w:numId w:val="10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46634C" w:rsidRPr="00C43062" w:rsidRDefault="0046634C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014DF" w:rsidRPr="00C43062">
        <w:rPr>
          <w:lang w:val="uk-UA"/>
        </w:rPr>
        <w:t xml:space="preserve">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Зняти з контролю рішення виконавчого комітету міської ради від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16.08.2023 № 125 «Про затвердження фінансових планів підприємств, що належать до комунальної власності Роменської міської територіальної громади, на 2024 рік»</w:t>
      </w:r>
      <w:r w:rsidR="007014DF" w:rsidRPr="00C43062">
        <w:rPr>
          <w:lang w:val="uk-UA"/>
        </w:rPr>
        <w:t xml:space="preserve">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із закінченням терміну дії.</w:t>
      </w:r>
    </w:p>
    <w:p w:rsidR="0046634C" w:rsidRPr="00C43062" w:rsidRDefault="0046634C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43062" w:rsidRPr="00C43062" w:rsidRDefault="00C43062" w:rsidP="00C430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Міський голова 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 w:type="page"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ІНФОРМАЦІЯ</w:t>
      </w:r>
    </w:p>
    <w:p w:rsidR="0046634C" w:rsidRPr="00C43062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17D3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стан виконання рішення виконавчого комітету міської ради від 16.08.2023 № 125 «Про затвердження фінансових планів підприємств, що належать до комунальної власності Роменської міської територіальної громади, на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2024 рік» </w:t>
      </w:r>
    </w:p>
    <w:p w:rsidR="0046634C" w:rsidRPr="00C43062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підсумками 2024 року</w:t>
      </w:r>
    </w:p>
    <w:p w:rsidR="0046634C" w:rsidRPr="00C43062" w:rsidRDefault="0046634C" w:rsidP="0046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виконавчого комітету міської ради від 16.08.2023 № 125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затверджено фінансові плани 8 комунальних підприємств на 2024 рік, аналіз звітів про виконання яких за підсумками 2024 року наведено далі. </w:t>
      </w:r>
    </w:p>
    <w:p w:rsidR="007014DF" w:rsidRPr="00C43062" w:rsidRDefault="007014DF" w:rsidP="00436D07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</w:t>
      </w:r>
      <w:proofErr w:type="spellStart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Ромникомунтепло</w:t>
      </w:r>
      <w:proofErr w:type="spellEnd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» Роменської міської ради»</w:t>
      </w:r>
    </w:p>
    <w:p w:rsidR="007014DF" w:rsidRPr="00C43062" w:rsidRDefault="007014DF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proofErr w:type="spellStart"/>
      <w:r w:rsidRPr="00C43062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C43062"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ради» здійснює діяльність із забезпечення споживачів міста послугами з постачання теплової енергії та гарячої води. </w:t>
      </w:r>
    </w:p>
    <w:p w:rsidR="007014DF" w:rsidRPr="00C43062" w:rsidRDefault="007014DF" w:rsidP="007014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 підприємства – 72 </w:t>
      </w:r>
      <w:r w:rsidR="00AF5BF8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у тому числі адміністративний персонал – 19 осіб, робітники – 53 </w:t>
      </w:r>
      <w:r w:rsidR="00AF5BF8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14DF" w:rsidRPr="00C43062" w:rsidRDefault="007014DF" w:rsidP="007014DF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1</w:t>
      </w:r>
    </w:p>
    <w:tbl>
      <w:tblPr>
        <w:tblW w:w="49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33"/>
        <w:gridCol w:w="33"/>
        <w:gridCol w:w="1122"/>
        <w:gridCol w:w="55"/>
        <w:gridCol w:w="1224"/>
        <w:gridCol w:w="48"/>
        <w:gridCol w:w="3071"/>
      </w:tblGrid>
      <w:tr w:rsidR="007014DF" w:rsidRPr="00C43062" w:rsidTr="00D543F7">
        <w:tc>
          <w:tcPr>
            <w:tcW w:w="40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року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7014DF" w:rsidRPr="00C43062" w:rsidTr="00D543F7">
        <w:tc>
          <w:tcPr>
            <w:tcW w:w="40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014DF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7014DF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 (далі – ФОП), тис. грн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13783,9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15952,1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пояснюється збільшенням прожиткового мінімуму та одного з галузевих коефіцієнтів, що в свою чергу вплинуло на зростання розміру тарифної ставки робітника 1 розряду </w:t>
            </w:r>
          </w:p>
        </w:tc>
      </w:tr>
      <w:tr w:rsidR="007014DF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7014D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13674,5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7014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18463,1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1C6BBD" w:rsidP="00436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підвищення розміру міні</w:t>
            </w:r>
            <w:r w:rsidR="00A137D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мальної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36D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заробітної плати</w:t>
            </w: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110948,8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81818,1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Відхилення зумовлене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мен</w:t>
            </w:r>
            <w:r w:rsidR="00436D0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шим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обсягом спожитого газу </w:t>
            </w: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31313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3131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107584,6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76698,2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3179,1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3800,1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210,5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C363E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 передбачені витрати: оплата лікарняних та ЄСВ на них, перерахування на профспілкову організацію 0,3% від </w:t>
            </w:r>
            <w:r w:rsidR="00C36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ФОП</w:t>
            </w: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D543F7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185,1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1109,3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63E2" w:rsidRPr="00C43062" w:rsidTr="00C363E2"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E2" w:rsidRPr="00C43062" w:rsidRDefault="00C363E2" w:rsidP="00C363E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</w:t>
            </w:r>
            <w:r w:rsidR="003131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131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послуг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грн,</w:t>
            </w:r>
          </w:p>
          <w:p w:rsidR="00C363E2" w:rsidRPr="00C43062" w:rsidRDefault="00C363E2" w:rsidP="00C363E2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E2" w:rsidRPr="00C43062" w:rsidRDefault="00C363E2" w:rsidP="00436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134114,4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3E2" w:rsidRPr="00C43062" w:rsidRDefault="00C363E2" w:rsidP="00C363E2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104246,2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3E2" w:rsidRPr="00C43062" w:rsidRDefault="00C363E2" w:rsidP="00436D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543F7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F7" w:rsidRPr="00C43062" w:rsidRDefault="00D543F7" w:rsidP="00D54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F7" w:rsidRPr="00C43062" w:rsidRDefault="00D543F7" w:rsidP="00D54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F7" w:rsidRPr="00C43062" w:rsidRDefault="00D543F7" w:rsidP="00D54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3F7" w:rsidRPr="00C43062" w:rsidRDefault="00D543F7" w:rsidP="00D543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22352,4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17374,4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111762,0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86871,8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31313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3131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109450,0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81517,4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невиконання плану вплинуло завчасне закінчення опалювального сезону, вища температура зовнішнього повітря в порівнянні з попередніми роками, а також зниження нарахувань по категорії «інші споживачі» у зв’язку зі зниженням вартості газу</w:t>
            </w: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2012,0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3875,2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внаслідок отримання фінансової допомоги з місцевого бюджету</w:t>
            </w: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1479,2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AF5BF8" w:rsidRPr="00C43062" w:rsidTr="00D543F7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="00C3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813,2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  <w:r w:rsidR="00C363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5053,7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7014DF" w:rsidRPr="00C43062" w:rsidRDefault="007014DF" w:rsidP="007014DF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2024 р. отримано 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всього доходів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сумі 86 871,8 тис. грн при запланованих 111 762,0 тис. грн. Так, з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а реалізовану теплов</w:t>
      </w:r>
      <w:r w:rsidR="00030784"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у енергію нарахування склали  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81 517,4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</w:t>
      </w:r>
      <w:r w:rsidR="00A137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значно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менше за плановий показник  </w:t>
      </w:r>
      <w:r w:rsidR="00C36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109 450,0 тис. грн</w:t>
      </w:r>
      <w:r w:rsidR="00C363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невиконання плану доходів вплинуло </w:t>
      </w:r>
      <w:r w:rsidR="00686CA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дострокове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закінчення 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(31 березня</w:t>
      </w:r>
      <w:r w:rsidR="006A1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замість 15 квітня</w:t>
      </w:r>
      <w:r w:rsidR="006A1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опалювального сезону 2023-2024 років, а також вища температура зовнішнього повітря під час опалювального періоду в порівнянні з попередніми роками. По категорії споживачів «інші споживачі» проводився перерахунок вартості послуг на виконання постанови Кабінету Міністрів України від 21 серпня 2019 року № 830 «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 затвердження Правил надання послуги з постачання теплової енергії і типових договорів про надання послуги з постачання теплової</w:t>
      </w:r>
      <w:r w:rsidRPr="00C43062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енергії»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зв’язку зі зниженням вартості природного газу для цієї категорії.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операційні д</w:t>
      </w: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оходи планувалися в обсязі 2 012,0 тис. грн, фактично отримано 3 875,2 тис. грн. П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еревиконання відбулося внаслідок отримання фінансової допомоги з місцевого бюджету в сумі 3 668,7 тис. грн. 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Інші доходи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перевиконано на 1 179,2 тис. грн – це амортизація на безоплатно отримані основні засоби.</w:t>
      </w:r>
    </w:p>
    <w:p w:rsidR="007014DF" w:rsidRPr="00C43062" w:rsidRDefault="007014DF" w:rsidP="005A18A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витрат за звітний період стан</w:t>
      </w:r>
      <w:r w:rsidR="005A18A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овить 81 818,1 тис. грн, в тому числі 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итрати на закупівлю природного газу </w:t>
      </w:r>
      <w:r w:rsidR="00737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43 719,6 тис. грн, що менше запланованого через зменшення обсягів споживання газу (план – 6 042,3 тис. м</w:t>
      </w:r>
      <w:r w:rsidRPr="00C4306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факт – 4 729,8 тис. м</w:t>
      </w:r>
      <w:r w:rsidRPr="00C4306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та ціни на постача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 газу для інших споживачів 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 31 937,9 грн/тис.</w:t>
      </w:r>
      <w:r w:rsidR="00737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C4306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факт – 13 658,33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грн/тис.</w:t>
      </w:r>
      <w:r w:rsidR="00737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 w:eastAsia="ru-RU"/>
        </w:rPr>
        <w:t>3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</w:p>
    <w:p w:rsidR="007014DF" w:rsidRPr="00C43062" w:rsidRDefault="00627B70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Фактичне с</w:t>
      </w:r>
      <w:r w:rsidR="007014DF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поживання електроенергії на 82,3 тис. кВт</w:t>
      </w:r>
      <w:r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менше до планового показника</w:t>
      </w:r>
      <w:r w:rsidR="007014DF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AE4720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Проте, витрати </w:t>
      </w:r>
      <w:r w:rsidR="001717DA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запланован</w:t>
      </w:r>
      <w:r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</w:t>
      </w:r>
      <w:r w:rsidR="001717DA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</w:t>
      </w:r>
      <w:r w:rsidR="00AC55D7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1717DA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212,1 тис. грн </w:t>
      </w:r>
      <w:r w:rsidR="00AE4720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фактично </w:t>
      </w:r>
      <w:r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склали</w:t>
      </w:r>
      <w:r w:rsidR="00AE4720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8 595,0 тис. грн</w:t>
      </w:r>
      <w:r w:rsidR="007014DF" w:rsidRPr="00627B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Причиною цього стало зростан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тарифу</w:t>
      </w:r>
      <w:r w:rsidR="007373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 запланованій вартості активної електричної енергії  5,78 грн/кВт*год фактична серед</w:t>
      </w:r>
      <w:r w:rsidR="00AE4720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ціна склала 7,38 грн/кВт*год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Фонд оплати праці за звітний період становить 16 020,3 тис. грн (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урахуванням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сумісників), що біль</w:t>
      </w:r>
      <w:r w:rsidR="00AE4720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ше від запланованого показника </w:t>
      </w:r>
      <w:r w:rsidR="00AC5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13 783,9 тис. грн</w:t>
      </w:r>
      <w:r w:rsidR="00AC5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Зростання витрат на оплату праці зумовлено збільшенням розміру місячної тарифної ставки робітника 1 розряду з 8</w:t>
      </w:r>
      <w:r w:rsidR="00AC5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213,04 грн до 10</w:t>
      </w:r>
      <w:r w:rsidR="00AC55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295,2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через збільшення прожиткового мінімуму 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галузевого коефіцієнта.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Єдиний соціальний внесок фактично нараховано більше за план через зростання фонду оплати праці.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Фактично амортизація за 2024 р</w:t>
      </w:r>
      <w:r w:rsidR="009743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склала 3 512,4 тис.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 при планових 3 033,5 тис.</w:t>
      </w:r>
      <w:r w:rsidR="0003078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грн.</w:t>
      </w:r>
    </w:p>
    <w:p w:rsidR="007014DF" w:rsidRPr="00C43062" w:rsidRDefault="00AE4720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Решта витрат</w:t>
      </w:r>
      <w:r w:rsidR="009743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таких як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оплата за водопостачання, матеріали</w:t>
      </w:r>
      <w:r w:rsidR="007C0D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ремонтних робіт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палив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но-мастильні матеріали, податки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при плані 4 154,9 тис. грн фактично зросли на 30%. Збільшення даних витрат зумовлено зростанням цін на матеріали та послуги. Також були незаплановані витрати </w:t>
      </w:r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встановленн</w:t>
      </w:r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нових котлів в котельних за адресами: вул. </w:t>
      </w:r>
      <w:proofErr w:type="spellStart"/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Коржівська</w:t>
      </w:r>
      <w:proofErr w:type="spellEnd"/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90 і б-р Свободи, 28 та шафи автоматичного управління </w:t>
      </w:r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котельні</w:t>
      </w:r>
      <w:r w:rsidR="006A17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proofErr w:type="spellStart"/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адресою</w:t>
      </w:r>
      <w:proofErr w:type="spellEnd"/>
      <w:r w:rsidR="001919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вул. Сумська,1.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на 01 січня 2025 року дебіторська заборгованість перед підприємством становила  28 015,3 тис. грн, з них: населення  – 25 497,7 тис. грн, бюджетні установи – 576,0 тис. грн, інші споживачі – 1 941,7 тис. грн.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зменшення заборгованості категорії споживачів «населення» ведеться така робота: 235,4 тис. грн – заключено договори реструктуризації; 1 289,0 тис. грн – заборгованість стягується через виконавчу службу; 10 083,3 тис. грн – готують</w:t>
      </w:r>
      <w:r w:rsidR="00BB2E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 документи для подачі до суду.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2E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BB2EBC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емає можливості ведення претензійної роботи </w:t>
      </w:r>
      <w:r w:rsidR="00BB2E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 боргу в сумі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4370,0 тис. грн</w:t>
      </w:r>
      <w:r w:rsidR="001D09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9519,5 тис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грн – заборгованість поточна за грудень 2024</w:t>
      </w:r>
      <w:r w:rsidR="00BB2E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Бюджетні установи простроченої заборгованості не мають.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Структура заборгованості інших споживачів: 527,8 тис. грн – готуються документи для подачі на суд та проводиться претензійна робота; </w:t>
      </w:r>
      <w:r w:rsidR="0067787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96,2 тис. грн – немає можливості ведення претензійної роботи,</w:t>
      </w:r>
      <w:r w:rsidR="006778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1 317,7 тис.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 </w:t>
      </w:r>
      <w:r w:rsidR="001D09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заборгованість поточна за грудень 2024</w:t>
      </w:r>
      <w:r w:rsidR="001D09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підприємства на кінець звітного періоду склала 26 146,2 тис. грн, з неї борг за природний газ – 26 093,5 тис. грн. При цьому, реструктуризації підпадає 16 821,8 тис. грн (договір заключено на 7 років); решта – поточна заборгованість.</w:t>
      </w:r>
    </w:p>
    <w:p w:rsidR="007014DF" w:rsidRPr="00C43062" w:rsidRDefault="007014DF" w:rsidP="001C6B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результатом діяльності </w:t>
      </w:r>
      <w:r w:rsidR="00F32D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2024 році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підприємство отримало чистий прибуток в сумі 5 053,7 тис. грн, 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планово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показник</w:t>
      </w:r>
      <w:r w:rsidR="0039038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813,2 тис. грн. </w:t>
      </w:r>
    </w:p>
    <w:p w:rsidR="007014DF" w:rsidRPr="00C43062" w:rsidRDefault="007014DF" w:rsidP="001C6BB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AD4" w:rsidRPr="00C43062" w:rsidRDefault="003E5AD4" w:rsidP="00C43062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</w:t>
      </w:r>
      <w:proofErr w:type="spellStart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Ромнитеплосервіс</w:t>
      </w:r>
      <w:proofErr w:type="spellEnd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» Роменської міської ради</w:t>
      </w:r>
    </w:p>
    <w:p w:rsidR="003E5AD4" w:rsidRPr="00C43062" w:rsidRDefault="003E5AD4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>Комунальне підприємство «</w:t>
      </w:r>
      <w:proofErr w:type="spellStart"/>
      <w:r w:rsidRPr="00C43062">
        <w:rPr>
          <w:rFonts w:ascii="Times New Roman" w:hAnsi="Times New Roman"/>
          <w:sz w:val="24"/>
          <w:szCs w:val="24"/>
          <w:lang w:val="uk-UA"/>
        </w:rPr>
        <w:t>Ромнитеплосервіс</w:t>
      </w:r>
      <w:proofErr w:type="spellEnd"/>
      <w:r w:rsidRPr="00C43062">
        <w:rPr>
          <w:rFonts w:ascii="Times New Roman" w:hAnsi="Times New Roman"/>
          <w:sz w:val="24"/>
          <w:szCs w:val="24"/>
          <w:lang w:val="uk-UA"/>
        </w:rPr>
        <w:t xml:space="preserve">» Роменської міської ради здійснює діяльність із забезпечення споживачів міста послугами централізованого теплопостачання. 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Середньооблікова чисельність штатних працівників підприємства – 13 осіб, у </w:t>
      </w:r>
      <w:proofErr w:type="spellStart"/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т.ч</w:t>
      </w:r>
      <w:proofErr w:type="spellEnd"/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адміністративний персонал – 7 осіб, робітники – 6 осіб.</w:t>
      </w:r>
    </w:p>
    <w:p w:rsidR="003E5AD4" w:rsidRPr="00C43062" w:rsidRDefault="003E5AD4" w:rsidP="003E5AD4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1250"/>
        <w:gridCol w:w="1380"/>
        <w:gridCol w:w="24"/>
        <w:gridCol w:w="3435"/>
      </w:tblGrid>
      <w:tr w:rsidR="003E5AD4" w:rsidRPr="00C43062" w:rsidTr="00CC600D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2024 рік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3E5AD4" w:rsidRPr="00C43062" w:rsidTr="00CC600D">
        <w:tc>
          <w:tcPr>
            <w:tcW w:w="3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2 711,0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2 968,8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771F8" w:rsidRPr="00C43062" w:rsidTr="00436D07"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F8" w:rsidRPr="00C43062" w:rsidRDefault="009771F8" w:rsidP="00436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F8" w:rsidRPr="00C43062" w:rsidRDefault="009771F8" w:rsidP="0043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F8" w:rsidRPr="00C43062" w:rsidRDefault="009771F8" w:rsidP="0043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F8" w:rsidRPr="00C43062" w:rsidRDefault="009771F8" w:rsidP="00436D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штатного працівника,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14 237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19 030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2B151C" w:rsidP="002B151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Відхилення внаслідок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3E5AD4"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="003E5AD4"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щення</w:t>
            </w:r>
            <w:proofErr w:type="spellEnd"/>
            <w:r w:rsidR="003E5AD4"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розміру мінімальної заробітної плати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14 878,9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15 930,1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E879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Збільшені витрати газу,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підви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щення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мінімальної зарплати, збільшення бюджетних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плате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жів</w:t>
            </w:r>
            <w:proofErr w:type="spellEnd"/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31313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 w:rsidR="0031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12 983,0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13 560,9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1 087,0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1487,6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611,0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604,3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277,3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Штрафні санкції, пені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117,9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3131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 w:rsidR="0031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тис. грн,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18 372,0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17 576,5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 через вищу фак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тичну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температуру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зовніш</w:t>
            </w:r>
            <w:proofErr w:type="spellEnd"/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нього повітря в порівнянні з плановим розрахунком,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дост</w:t>
            </w:r>
            <w:proofErr w:type="spellEnd"/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рокове закінчення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опалюваль</w:t>
            </w:r>
            <w:proofErr w:type="spellEnd"/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ного сезону в квітні 2024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р.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2 956,0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2 729,4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15 416,0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14 847,1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313139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313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14 780,0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13 647,1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Зменшення нарахувань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пов’я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зано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фактичною темпера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турою зовнішнього повітря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608,3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Збільшення внаслідок отри</w:t>
            </w:r>
            <w:r w:rsidR="00E879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мання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фінансової допомоги з місцевого бюджету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636,0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591,7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Нарахована амортизація на безоплатно отримані основні засоби</w:t>
            </w:r>
          </w:p>
        </w:tc>
      </w:tr>
      <w:tr w:rsidR="003E5AD4" w:rsidRPr="00C43062" w:rsidTr="00CC600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збиток </w:t>
            </w:r>
            <w:r w:rsidR="006778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br/>
            </w: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(-), тис. грн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537,1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-1083,0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E5AD4" w:rsidRPr="00C43062" w:rsidRDefault="0067787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 підсумками 2024 року д</w:t>
      </w:r>
      <w:r w:rsidR="00DD55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охід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підприємства 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склав</w:t>
      </w:r>
      <w:r w:rsidR="00DD55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14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DD55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847,1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грн, в т. ч. дохі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 від наданих послуг – 13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647,1 тис. грн, фінансова підтримка – 608,3 тис. грн, амортизація основних засобів комунальної власності – 591,7 тис. грн.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Витрати за звітний період склали 15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930,1 тис. грн. Основні статті витрат: матеріали – 492,4 тис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електроенергія – 1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697,4 тис. грн, газ – 8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559,6 тис. грн, заробітна плата – 2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968,8 тис.</w:t>
      </w:r>
      <w:r w:rsidR="007A65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грн, єдиний соціальний внесок –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592,4 тис. грн, амортизація – 778,6 тис. грн,  інші витрати – 563,6 тис. грн, інші невиробничі витрати – 277,3 тис. грн.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Дебіторська заборгованість по пі</w:t>
      </w:r>
      <w:r w:rsidR="00456D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дприємству станом на 01.01.2025</w:t>
      </w:r>
      <w:r w:rsidR="006C4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складає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6</w:t>
      </w:r>
      <w:r w:rsidR="00456D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316,1 тис. грн, в т. ч. населення – 6</w:t>
      </w:r>
      <w:r w:rsidR="00456D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172,0 тис. грн, бюджетні організації –89,9 тис. грн</w:t>
      </w:r>
      <w:r w:rsidR="006C4976" w:rsidRPr="006C4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C4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="006C4976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аванс</w:t>
      </w:r>
      <w:r w:rsidR="006C497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інші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споживачі – 234,0 тис. грн. Кредиторська заборгованість – 9</w:t>
      </w:r>
      <w:r w:rsidR="00456D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175,2 тис. грн, в т. ч. борг за газ – 8</w:t>
      </w:r>
      <w:r w:rsidR="00456D3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989,8 тис. грн.            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Підприємством постійно ведеться претензійно-позовна робота з боржниками. За звітний період подан</w:t>
      </w:r>
      <w:r w:rsidR="007676A7"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 судових позовів на стягнення 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заборгованості за надані послуги з теплопостачання на загальну суму 1</w:t>
      </w:r>
      <w:r w:rsid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740,8 тис. грн, заключено 5 договорів на реструктуризацію на суму 305,7 тис. грн, на виконавчому провадженні знаходиться стягнення заборгованості по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юридичним особам на суму 87,1 тис. грн.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бюджету сплачено 2</w:t>
      </w:r>
      <w:r w:rsidR="00264B2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173,2 тис. грн податків і зборів.</w:t>
      </w:r>
    </w:p>
    <w:p w:rsidR="003E5AD4" w:rsidRPr="00C43062" w:rsidRDefault="003E5AD4" w:rsidP="003E5AD4">
      <w:pPr>
        <w:pStyle w:val="ad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C43062">
        <w:rPr>
          <w:sz w:val="24"/>
          <w:szCs w:val="24"/>
          <w:lang w:val="uk-UA"/>
        </w:rPr>
        <w:t>Капітальні інвестиції в звітному періоді склали 34,4 тис. грн. Придбано 2 лічильники води, інструмент, обчислювач теплового лічильника. В оперативне управління з місцевого бюджету передано дизельну пересувну освітлювальну установку  вартістю 554,7 тис. грн.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 фінансовий результат (зменшення дохідної частини та збільшення собівартості) </w:t>
      </w:r>
      <w:r w:rsidR="007676A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вплинули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такі чинники:</w:t>
      </w:r>
    </w:p>
    <w:p w:rsidR="003E5AD4" w:rsidRPr="00C43062" w:rsidRDefault="00677874" w:rsidP="00264B22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 w:rsidR="003E5AD4" w:rsidRPr="00C43062">
        <w:rPr>
          <w:color w:val="000000"/>
          <w:sz w:val="24"/>
          <w:szCs w:val="24"/>
        </w:rPr>
        <w:t xml:space="preserve">іючий тариф на послуги </w:t>
      </w:r>
      <w:r w:rsidR="00BF7FC2">
        <w:rPr>
          <w:color w:val="000000"/>
          <w:sz w:val="24"/>
          <w:szCs w:val="24"/>
        </w:rPr>
        <w:t xml:space="preserve">з </w:t>
      </w:r>
      <w:r w:rsidR="003E5AD4" w:rsidRPr="00C43062">
        <w:rPr>
          <w:color w:val="000000"/>
          <w:sz w:val="24"/>
          <w:szCs w:val="24"/>
        </w:rPr>
        <w:t>теплопостачання, який для населення складає 2</w:t>
      </w:r>
      <w:r w:rsidR="00BF7FC2">
        <w:rPr>
          <w:color w:val="000000"/>
          <w:sz w:val="24"/>
          <w:szCs w:val="24"/>
        </w:rPr>
        <w:t> </w:t>
      </w:r>
      <w:r w:rsidR="003E5AD4" w:rsidRPr="00C43062">
        <w:rPr>
          <w:color w:val="000000"/>
          <w:sz w:val="24"/>
          <w:szCs w:val="24"/>
        </w:rPr>
        <w:t xml:space="preserve">042,96 грн за 1 </w:t>
      </w:r>
      <w:proofErr w:type="spellStart"/>
      <w:r w:rsidR="003E5AD4" w:rsidRPr="00C43062">
        <w:rPr>
          <w:color w:val="000000"/>
          <w:sz w:val="24"/>
          <w:szCs w:val="24"/>
        </w:rPr>
        <w:t>Гкал</w:t>
      </w:r>
      <w:proofErr w:type="spellEnd"/>
      <w:r w:rsidR="00BF7FC2">
        <w:rPr>
          <w:color w:val="000000"/>
          <w:sz w:val="24"/>
          <w:szCs w:val="24"/>
        </w:rPr>
        <w:t>,</w:t>
      </w:r>
      <w:r w:rsidR="003E5AD4" w:rsidRPr="00C43062">
        <w:rPr>
          <w:color w:val="000000"/>
          <w:sz w:val="24"/>
          <w:szCs w:val="24"/>
        </w:rPr>
        <w:t xml:space="preserve"> затверджений у грудні 2021 року. За час дії воєнного стану він не змінювався, хоча складові собівартості постійно збільшуються</w:t>
      </w:r>
      <w:r w:rsidR="003E5AD4" w:rsidRPr="00C47017">
        <w:rPr>
          <w:sz w:val="24"/>
          <w:szCs w:val="24"/>
        </w:rPr>
        <w:t xml:space="preserve">. </w:t>
      </w:r>
      <w:r w:rsidR="006C4976" w:rsidRPr="00C47017">
        <w:rPr>
          <w:sz w:val="24"/>
          <w:szCs w:val="24"/>
        </w:rPr>
        <w:t xml:space="preserve">Економічно </w:t>
      </w:r>
      <w:r w:rsidR="00C47017" w:rsidRPr="00C47017">
        <w:rPr>
          <w:sz w:val="24"/>
          <w:szCs w:val="24"/>
        </w:rPr>
        <w:t>обґрунтований</w:t>
      </w:r>
      <w:r w:rsidR="003E5AD4" w:rsidRPr="00C47017">
        <w:rPr>
          <w:sz w:val="24"/>
          <w:szCs w:val="24"/>
        </w:rPr>
        <w:t xml:space="preserve"> тариф в 2024 році с</w:t>
      </w:r>
      <w:r w:rsidR="00C47017" w:rsidRPr="00C47017">
        <w:rPr>
          <w:sz w:val="24"/>
          <w:szCs w:val="24"/>
        </w:rPr>
        <w:t>тановив</w:t>
      </w:r>
      <w:r w:rsidR="003E5AD4" w:rsidRPr="00C47017">
        <w:rPr>
          <w:sz w:val="24"/>
          <w:szCs w:val="24"/>
        </w:rPr>
        <w:t xml:space="preserve"> 2860,21 грн</w:t>
      </w:r>
      <w:r w:rsidR="00C22244" w:rsidRPr="00C47017">
        <w:rPr>
          <w:sz w:val="24"/>
          <w:szCs w:val="24"/>
        </w:rPr>
        <w:t xml:space="preserve"> за </w:t>
      </w:r>
      <w:r w:rsidR="003E5AD4" w:rsidRPr="00C47017">
        <w:rPr>
          <w:sz w:val="24"/>
          <w:szCs w:val="24"/>
        </w:rPr>
        <w:t xml:space="preserve">1 </w:t>
      </w:r>
      <w:proofErr w:type="spellStart"/>
      <w:r w:rsidR="003E5AD4" w:rsidRPr="00C47017">
        <w:rPr>
          <w:sz w:val="24"/>
          <w:szCs w:val="24"/>
        </w:rPr>
        <w:t>Гкал</w:t>
      </w:r>
      <w:proofErr w:type="spellEnd"/>
      <w:r w:rsidR="003E5AD4" w:rsidRPr="00C47017">
        <w:rPr>
          <w:sz w:val="24"/>
          <w:szCs w:val="24"/>
        </w:rPr>
        <w:t>. Частка населе</w:t>
      </w:r>
      <w:r w:rsidR="003E5AD4" w:rsidRPr="00C43062">
        <w:rPr>
          <w:color w:val="000000"/>
          <w:sz w:val="24"/>
          <w:szCs w:val="24"/>
        </w:rPr>
        <w:t xml:space="preserve">ння в структурі споживачів </w:t>
      </w:r>
      <w:r w:rsidR="00BF7FC2">
        <w:rPr>
          <w:color w:val="000000"/>
          <w:sz w:val="24"/>
          <w:szCs w:val="24"/>
        </w:rPr>
        <w:t>– 88,7%;</w:t>
      </w:r>
    </w:p>
    <w:p w:rsidR="003E5AD4" w:rsidRPr="00C43062" w:rsidRDefault="00677874" w:rsidP="00264B22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3E5AD4" w:rsidRPr="00C43062">
        <w:rPr>
          <w:color w:val="000000"/>
          <w:sz w:val="24"/>
          <w:szCs w:val="24"/>
        </w:rPr>
        <w:t>артіс</w:t>
      </w:r>
      <w:r>
        <w:rPr>
          <w:color w:val="000000"/>
          <w:sz w:val="24"/>
          <w:szCs w:val="24"/>
        </w:rPr>
        <w:t>ть електричної енергії</w:t>
      </w:r>
      <w:r w:rsidR="00C4701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закладеної</w:t>
      </w:r>
      <w:r w:rsidR="003E5AD4" w:rsidRPr="00C43062">
        <w:rPr>
          <w:color w:val="000000"/>
          <w:sz w:val="24"/>
          <w:szCs w:val="24"/>
        </w:rPr>
        <w:t xml:space="preserve"> в діючий тариф</w:t>
      </w:r>
      <w:r w:rsidR="00C47017">
        <w:rPr>
          <w:color w:val="000000"/>
          <w:sz w:val="24"/>
          <w:szCs w:val="24"/>
        </w:rPr>
        <w:t>,</w:t>
      </w:r>
      <w:r w:rsidR="003E5AD4" w:rsidRPr="00C43062">
        <w:rPr>
          <w:color w:val="000000"/>
          <w:sz w:val="24"/>
          <w:szCs w:val="24"/>
        </w:rPr>
        <w:t xml:space="preserve"> складає 3,63 грн. за </w:t>
      </w:r>
      <w:r w:rsidR="00AE4720" w:rsidRPr="00C43062">
        <w:rPr>
          <w:color w:val="000000"/>
          <w:sz w:val="24"/>
          <w:szCs w:val="24"/>
        </w:rPr>
        <w:t xml:space="preserve">1 </w:t>
      </w:r>
      <w:r w:rsidR="00AE4720" w:rsidRPr="00C43062">
        <w:rPr>
          <w:sz w:val="24"/>
          <w:szCs w:val="24"/>
        </w:rPr>
        <w:t>кВт*год</w:t>
      </w:r>
      <w:r w:rsidR="003E5AD4" w:rsidRPr="00C43062">
        <w:rPr>
          <w:color w:val="000000"/>
          <w:sz w:val="24"/>
          <w:szCs w:val="24"/>
        </w:rPr>
        <w:t xml:space="preserve">, фактична вартість електроенергії в грудні 2024 року складала 9,04 грн за </w:t>
      </w:r>
      <w:r w:rsidR="00AE4720" w:rsidRPr="00C43062">
        <w:rPr>
          <w:color w:val="000000"/>
          <w:sz w:val="24"/>
          <w:szCs w:val="24"/>
        </w:rPr>
        <w:t xml:space="preserve">1 </w:t>
      </w:r>
      <w:r w:rsidR="00AE4720" w:rsidRPr="00C43062">
        <w:rPr>
          <w:sz w:val="24"/>
          <w:szCs w:val="24"/>
        </w:rPr>
        <w:t>кВт*год</w:t>
      </w:r>
      <w:r w:rsidR="00C47017">
        <w:rPr>
          <w:color w:val="000000"/>
          <w:sz w:val="24"/>
          <w:szCs w:val="24"/>
        </w:rPr>
        <w:t>.;</w:t>
      </w:r>
    </w:p>
    <w:p w:rsidR="00686CA6" w:rsidRPr="00C43062" w:rsidRDefault="00677874" w:rsidP="00264B22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</w:t>
      </w:r>
      <w:r w:rsidR="003E5AD4" w:rsidRPr="00C43062">
        <w:rPr>
          <w:color w:val="000000"/>
          <w:sz w:val="24"/>
          <w:szCs w:val="24"/>
        </w:rPr>
        <w:t>едостатня кількість природного газу в договірних величинах по умовам поклад</w:t>
      </w:r>
      <w:r w:rsidR="005A18AE" w:rsidRPr="00C43062">
        <w:rPr>
          <w:color w:val="000000"/>
          <w:sz w:val="24"/>
          <w:szCs w:val="24"/>
        </w:rPr>
        <w:t xml:space="preserve">ення спеціальних обов’язків на </w:t>
      </w:r>
      <w:r w:rsidR="003E5AD4" w:rsidRPr="00C43062">
        <w:rPr>
          <w:color w:val="000000"/>
          <w:sz w:val="24"/>
          <w:szCs w:val="24"/>
        </w:rPr>
        <w:t xml:space="preserve">постачальника по фіксованих цінах для населення та бюджетних установ. Так, за 2024 рік постачальник по фіксованим цінам надав підприємству 850,7 </w:t>
      </w:r>
      <w:r w:rsidR="005A18AE" w:rsidRPr="00C43062">
        <w:rPr>
          <w:sz w:val="24"/>
          <w:szCs w:val="24"/>
        </w:rPr>
        <w:t>тис. м</w:t>
      </w:r>
      <w:r w:rsidR="005A18AE" w:rsidRPr="00C43062">
        <w:rPr>
          <w:sz w:val="24"/>
          <w:szCs w:val="24"/>
          <w:vertAlign w:val="superscript"/>
        </w:rPr>
        <w:t xml:space="preserve">3 </w:t>
      </w:r>
      <w:r w:rsidR="003E5AD4" w:rsidRPr="00C43062">
        <w:rPr>
          <w:color w:val="000000"/>
          <w:sz w:val="24"/>
          <w:szCs w:val="24"/>
        </w:rPr>
        <w:t xml:space="preserve">газу, фактично було спожито 941,5 </w:t>
      </w:r>
      <w:r w:rsidR="005A18AE" w:rsidRPr="00C43062">
        <w:rPr>
          <w:sz w:val="24"/>
          <w:szCs w:val="24"/>
        </w:rPr>
        <w:t>тис. м</w:t>
      </w:r>
      <w:r w:rsidR="005A18AE" w:rsidRPr="00C43062">
        <w:rPr>
          <w:sz w:val="24"/>
          <w:szCs w:val="24"/>
          <w:vertAlign w:val="superscript"/>
        </w:rPr>
        <w:t>3</w:t>
      </w:r>
      <w:r w:rsidR="003E5AD4" w:rsidRPr="00C43062">
        <w:rPr>
          <w:color w:val="000000"/>
          <w:sz w:val="24"/>
          <w:szCs w:val="24"/>
        </w:rPr>
        <w:t xml:space="preserve">, відповідно різниця в 90,8 </w:t>
      </w:r>
      <w:r w:rsidR="005A18AE" w:rsidRPr="00C43062">
        <w:rPr>
          <w:sz w:val="24"/>
          <w:szCs w:val="24"/>
        </w:rPr>
        <w:t>тис. м</w:t>
      </w:r>
      <w:r w:rsidR="005A18AE" w:rsidRPr="00C43062">
        <w:rPr>
          <w:sz w:val="24"/>
          <w:szCs w:val="24"/>
          <w:vertAlign w:val="superscript"/>
        </w:rPr>
        <w:t xml:space="preserve">3 </w:t>
      </w:r>
      <w:r w:rsidR="003E5AD4" w:rsidRPr="00C43062">
        <w:rPr>
          <w:color w:val="000000"/>
          <w:sz w:val="24"/>
          <w:szCs w:val="24"/>
        </w:rPr>
        <w:t>була  надана по комерційним цінам.</w:t>
      </w:r>
      <w:r w:rsidR="005A18AE" w:rsidRPr="00C43062">
        <w:rPr>
          <w:color w:val="000000"/>
          <w:sz w:val="24"/>
          <w:szCs w:val="24"/>
        </w:rPr>
        <w:t xml:space="preserve"> </w:t>
      </w:r>
    </w:p>
    <w:p w:rsidR="003E5AD4" w:rsidRPr="00C43062" w:rsidRDefault="00677874" w:rsidP="00264B22">
      <w:pPr>
        <w:pStyle w:val="a5"/>
        <w:spacing w:line="276" w:lineRule="auto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3E5AD4" w:rsidRPr="00C43062">
        <w:rPr>
          <w:color w:val="000000"/>
          <w:sz w:val="24"/>
          <w:szCs w:val="24"/>
        </w:rPr>
        <w:t>ростан</w:t>
      </w:r>
      <w:r w:rsidR="005A18AE" w:rsidRPr="00C43062">
        <w:rPr>
          <w:color w:val="000000"/>
          <w:sz w:val="24"/>
          <w:szCs w:val="24"/>
        </w:rPr>
        <w:t xml:space="preserve">ня мінімальної заробітної плати та </w:t>
      </w:r>
      <w:r w:rsidR="003E5AD4" w:rsidRPr="00C43062">
        <w:rPr>
          <w:color w:val="000000"/>
          <w:sz w:val="24"/>
          <w:szCs w:val="24"/>
        </w:rPr>
        <w:t>податкових відрахувань.</w:t>
      </w:r>
    </w:p>
    <w:p w:rsidR="0046634C" w:rsidRPr="00C43062" w:rsidRDefault="003E5AD4" w:rsidP="0039038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Підприємством пл</w:t>
      </w:r>
      <w:r w:rsidR="005A18AE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анувалося отримання у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2024 році  чистого прибутку в обсязі 537,1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тис. грн. Фактично за цей період підприємство отримало збитки в сумі 1 083,0</w:t>
      </w:r>
      <w:r w:rsidRPr="00C4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тис. грн.    </w:t>
      </w:r>
    </w:p>
    <w:p w:rsidR="00C47017" w:rsidRDefault="00C47017" w:rsidP="00C43062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AF5BF8" w:rsidRPr="00C43062" w:rsidRDefault="00AF5BF8" w:rsidP="00313139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«Житло-Експлуатація» Роменської міської ради»</w:t>
      </w:r>
    </w:p>
    <w:p w:rsidR="00AF5BF8" w:rsidRPr="00C43062" w:rsidRDefault="00AF5BF8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sz w:val="24"/>
          <w:szCs w:val="24"/>
          <w:lang w:val="uk-UA" w:eastAsia="ru-RU"/>
        </w:rPr>
        <w:t xml:space="preserve">Комунальне підприємство «Житло-Експлуатація» Роменської міської ради» надає послуги з утримання будинків і споруд та прибудинкових територій житлового фонду. </w:t>
      </w:r>
    </w:p>
    <w:p w:rsidR="00AF5BF8" w:rsidRPr="00C43062" w:rsidRDefault="00AF5BF8" w:rsidP="00AF5BF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штатних працівників становить 60 осіб, у тому числі адміністративний персонал – 8, робітники – 52. </w:t>
      </w:r>
    </w:p>
    <w:p w:rsidR="00AF5BF8" w:rsidRPr="00C43062" w:rsidRDefault="00AF5BF8" w:rsidP="00C77081">
      <w:pPr>
        <w:spacing w:after="0" w:line="276" w:lineRule="auto"/>
        <w:ind w:left="79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0"/>
        <w:gridCol w:w="1217"/>
        <w:gridCol w:w="1267"/>
        <w:gridCol w:w="3274"/>
      </w:tblGrid>
      <w:tr w:rsidR="00AF5BF8" w:rsidRPr="00C43062" w:rsidTr="00CC600D"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Примітка</w:t>
            </w:r>
          </w:p>
        </w:tc>
      </w:tr>
      <w:tr w:rsidR="00AF5BF8" w:rsidRPr="00C43062" w:rsidTr="00CC600D">
        <w:tc>
          <w:tcPr>
            <w:tcW w:w="3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2180,0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7902,9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1C6BBD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Збільшились витрати на заробітну плату, збільшилась кількість працівників</w:t>
            </w: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8258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10976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62A6B" w:rsidP="00A62A6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Відхилення внаслідок підвищення мінімальної зар</w:t>
            </w:r>
            <w:r w:rsidR="00EF7DA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бітної </w:t>
            </w:r>
            <w:r w:rsidR="00AF5BF8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плати</w:t>
            </w:r>
          </w:p>
        </w:tc>
      </w:tr>
    </w:tbl>
    <w:p w:rsidR="00313139" w:rsidRDefault="0031313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0"/>
        <w:gridCol w:w="1217"/>
        <w:gridCol w:w="1267"/>
        <w:gridCol w:w="3274"/>
      </w:tblGrid>
      <w:tr w:rsidR="00A62A6B" w:rsidRPr="00C43062" w:rsidTr="0065465E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6B" w:rsidRPr="00C43062" w:rsidRDefault="00A62A6B" w:rsidP="00654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6B" w:rsidRPr="00C43062" w:rsidRDefault="00A62A6B" w:rsidP="00654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6B" w:rsidRPr="00C43062" w:rsidRDefault="00A62A6B" w:rsidP="00654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A6B" w:rsidRPr="00C43062" w:rsidRDefault="00A62A6B" w:rsidP="006546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3825,6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13475,9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EF7DAC" w:rsidP="00EF7DA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Збільшилися</w:t>
            </w:r>
            <w:r w:rsidR="001C6BBD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працівників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витрати на заробітну плату</w:t>
            </w:r>
            <w:r w:rsidR="001C6BBD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2720,0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10905,6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1015,2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2115,6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84,4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135,0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319,7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9156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грн,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4586,0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16292,2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1359,8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3826,0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14932,4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3800,0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6798,9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8133,5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Цільове фінансування (дотаційні робочі місця, фінансова підтримка)</w:t>
            </w: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18,0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F8" w:rsidRPr="00C43062" w:rsidTr="00CC600D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AF5BF8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1456,5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BF8" w:rsidRPr="00C43062" w:rsidRDefault="00EF7DAC" w:rsidP="00AF5B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AF5BF8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житлового фонду з 01.09.2023</w:t>
            </w:r>
            <w:r w:rsidR="00AF5BF8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фінансова підтримка</w:t>
            </w:r>
          </w:p>
        </w:tc>
      </w:tr>
    </w:tbl>
    <w:p w:rsidR="00AF5BF8" w:rsidRPr="00C43062" w:rsidRDefault="00AF5BF8" w:rsidP="00AF5BF8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795E" w:rsidRPr="00C43062" w:rsidRDefault="00AF5BF8" w:rsidP="001C6BB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2024 рік заплановано обсяг надання послуг у сумі 3800,0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(без ПДВ) та інші операційні доходи – 8,0 тис.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інші доходи – 18,0 тис. грн.  Фактично чистий дохід </w:t>
      </w:r>
      <w:r w:rsidR="00EF7D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наданих послуг склав 6798,9 тис.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цільове фінансування </w:t>
      </w:r>
      <w:r w:rsidR="00EF7D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8133,5 тис. грн. </w:t>
      </w:r>
    </w:p>
    <w:p w:rsidR="00AF5BF8" w:rsidRPr="00C43062" w:rsidRDefault="00AF5BF8" w:rsidP="001C6BB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2024 рік  заплановані витрати у сумі 3825,6 тис. грн.  Фактичні витрати </w:t>
      </w:r>
      <w:r w:rsidR="00EF7D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склали 13475,9 тис. </w:t>
      </w:r>
      <w:r w:rsidR="00E65B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грн та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включають: матеріальні витрати (паливно-мастильні, будівельні, сантехнічні, енергоносії та ін.), витрати на оплату праці робітників та адмінперсоналу, від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рахування на </w:t>
      </w:r>
      <w:r w:rsidR="00AB2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диний соціальний внесок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амортизація, операційні витрати (телекомунікаційні послуги, технічне обслуговування ліфтів, послуги установ банку та інші </w:t>
      </w:r>
      <w:r w:rsidR="00E65B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послуги сторонніх організацій).</w:t>
      </w:r>
    </w:p>
    <w:p w:rsidR="00AF5BF8" w:rsidRPr="00C43062" w:rsidRDefault="00AF5BF8" w:rsidP="001C6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Фонд оплати праці 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планувався в обсязі</w:t>
      </w:r>
      <w:r w:rsidR="00AB2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2180,0 тис. грн,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фактично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7902,9 тис. грн. Середньомісячна заробітна плата 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планувалася на рівні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258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фактично</w:t>
      </w:r>
      <w:r w:rsidR="00AB2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10</w:t>
      </w:r>
      <w:r w:rsidR="000D55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976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Планова кількість працівників становить 22 особи. Фактична середньооблікова кількість усіх працівників в еквіваленті повної зайнятості становить 60 осіб. Кількість працівників більша від запланованої за рахунок дотаційних робочих місць. Фонд заробітної плати більший від запланованого </w:t>
      </w:r>
      <w:r w:rsidR="003D7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внаслідок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підвищення мінімальної заробіт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ної плати до рівня 8000,00 грн </w:t>
      </w:r>
      <w:r w:rsidR="003D7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</w:t>
      </w:r>
      <w:r w:rsidR="007676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запланован</w:t>
      </w:r>
      <w:r w:rsidR="003D7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рівні 6700,00 грн, а також за рахунок дотаційних робочих місць (чергові в укриттях).</w:t>
      </w:r>
    </w:p>
    <w:p w:rsidR="00AF5BF8" w:rsidRPr="00C43062" w:rsidRDefault="00AF5BF8" w:rsidP="001C6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</w:t>
      </w:r>
      <w:r w:rsidR="00635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ька заборгованість на 01.01.2025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становить 1974,4 тис. грн (у т. ч 1679,8 тис. грн – заборгованість населення, 225,7 тис. грн – інші споживачі, 68,9 тис. грн – за розрахунками з бюджетом), </w:t>
      </w:r>
      <w:r w:rsidR="00635E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зросла на 2% </w:t>
      </w:r>
      <w:r w:rsidR="00DD556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1928,1 тис. грн </w:t>
      </w:r>
      <w:r w:rsidR="003D7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2024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року. </w:t>
      </w:r>
    </w:p>
    <w:p w:rsidR="00AF5BF8" w:rsidRPr="00C43062" w:rsidRDefault="00AF5BF8" w:rsidP="001C6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Для погашення заборгованості надіслано повідомлення боржникам на суму 900,0 тис. грн (квартплата населення). Складені договори на реструктуризацію боргу на суму 220,0 тис. грн. Поточна дебіторська заборгованість становить 683,6 тис. </w:t>
      </w:r>
      <w:r w:rsidR="001C6BB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безнадійна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D75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170,8  тис. грн.</w:t>
      </w:r>
    </w:p>
    <w:p w:rsidR="00AF5BF8" w:rsidRPr="00C43062" w:rsidRDefault="00AF5BF8" w:rsidP="001C6BB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на кінець звітного періоду становить 364,7 тис. грн (у тому числі заборгованість перед бюджетом – 90,7 тис. грн, з оплати праці – 1,8 тис. грн, інші поточні зобов’язання – 4,5 тис. грн, за товари, роботи, послуги – 267,7 тис. грн), та відповідно до початку звіт</w:t>
      </w:r>
      <w:r w:rsidR="00FA5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ного періоду зменшилась на 50%  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723,5 тис. грн.  Кредиторська заборгованість є поточною.</w:t>
      </w:r>
    </w:p>
    <w:p w:rsidR="00AF5BF8" w:rsidRPr="00C43062" w:rsidRDefault="00AF5BF8" w:rsidP="001C6BB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зі збільшенням житлового фонду та додаткового фінансування оплачуваних громадських робіт дохід підприємства збільшився. У 2024 році завдяки фінансовій підтримці підприємство збільшило запаси паливо-мастильних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будівельних та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сантехнічних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матеріалів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будуть ви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користані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2025 році. Крім цього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був придбаний трактор для покращення виконання послуг 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прибирання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прибудинкових територій (вив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езення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листя, гілок, розчищення снігу та інше).  Витрати матеріалів та нарахування амортизації буде поступове в наступних періодах, що і призвело до отримання значного прибутку. </w:t>
      </w:r>
    </w:p>
    <w:p w:rsidR="0039038D" w:rsidRPr="00C43062" w:rsidRDefault="0039038D" w:rsidP="0039038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результатом діяльності 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</w:t>
      </w:r>
      <w:r w:rsidR="00D653F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підприємство отримало чистий прибуток в сумі 1456,5 тис. грн, при плановому показнику 0,4 тис. грн. </w:t>
      </w:r>
    </w:p>
    <w:p w:rsidR="0039038D" w:rsidRPr="00C43062" w:rsidRDefault="0039038D" w:rsidP="001C6BBD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E5AD4" w:rsidRPr="00C43062" w:rsidRDefault="003E5AD4" w:rsidP="00C43062">
      <w:pPr>
        <w:pStyle w:val="ac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43062">
        <w:rPr>
          <w:rFonts w:ascii="Times New Roman" w:hAnsi="Times New Roman"/>
          <w:b/>
          <w:sz w:val="24"/>
          <w:szCs w:val="24"/>
          <w:lang w:val="uk-UA"/>
        </w:rPr>
        <w:t>Комунальне підприємство «Ромнитранссервіс»</w:t>
      </w:r>
    </w:p>
    <w:p w:rsidR="003E5AD4" w:rsidRPr="00C43062" w:rsidRDefault="003E5AD4" w:rsidP="00C43062">
      <w:pPr>
        <w:pStyle w:val="ac"/>
        <w:spacing w:line="276" w:lineRule="auto"/>
        <w:ind w:firstLine="567"/>
        <w:jc w:val="both"/>
        <w:rPr>
          <w:lang w:val="uk-UA"/>
        </w:rPr>
      </w:pPr>
      <w:r w:rsidRPr="00C43062">
        <w:rPr>
          <w:rFonts w:ascii="Times New Roman" w:hAnsi="Times New Roman"/>
          <w:sz w:val="24"/>
          <w:szCs w:val="24"/>
          <w:lang w:val="uk-UA"/>
        </w:rPr>
        <w:t xml:space="preserve">Комунальне підприємство «Ромнитранссервіс» здійснює організацію руху автобусів на міських автобусних маршрутах загального користування та контроль за рухом транспорту, надає </w:t>
      </w:r>
      <w:r w:rsidR="00C43062" w:rsidRPr="00C43062">
        <w:rPr>
          <w:rFonts w:ascii="Times New Roman" w:hAnsi="Times New Roman"/>
          <w:sz w:val="24"/>
          <w:szCs w:val="24"/>
          <w:lang w:val="uk-UA"/>
        </w:rPr>
        <w:t xml:space="preserve">диспетчерські послуги </w:t>
      </w:r>
      <w:r w:rsidRPr="00C43062">
        <w:rPr>
          <w:rFonts w:ascii="Times New Roman" w:hAnsi="Times New Roman"/>
          <w:sz w:val="24"/>
          <w:szCs w:val="24"/>
          <w:lang w:val="uk-UA"/>
        </w:rPr>
        <w:t>виконавцям перевезень</w:t>
      </w:r>
      <w:r w:rsidRPr="00C43062">
        <w:rPr>
          <w:lang w:val="uk-UA"/>
        </w:rPr>
        <w:t>.</w:t>
      </w:r>
    </w:p>
    <w:p w:rsidR="003E5AD4" w:rsidRPr="00C43062" w:rsidRDefault="003E5AD4" w:rsidP="003E5AD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Середньооблікова чисельність штатних працівників підприємства – 2 особи. </w:t>
      </w:r>
    </w:p>
    <w:p w:rsidR="003E5AD4" w:rsidRPr="00C43062" w:rsidRDefault="003E5AD4" w:rsidP="003E5AD4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Таблиця 4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1076"/>
        <w:gridCol w:w="1252"/>
        <w:gridCol w:w="3454"/>
      </w:tblGrid>
      <w:tr w:rsidR="003E5AD4" w:rsidRPr="00C43062" w:rsidTr="00736327">
        <w:tc>
          <w:tcPr>
            <w:tcW w:w="3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2024 рік</w:t>
            </w:r>
          </w:p>
        </w:tc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183,6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" w:name="5525"/>
            <w:bookmarkEnd w:id="1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7658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витрат від звичайної діяльності, тис. грн,</w:t>
            </w:r>
          </w:p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736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Збільшилис</w:t>
            </w:r>
            <w:r w:rsidR="00736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витрати на заробітну плату, відрядження, зв’язок, канцтовари</w:t>
            </w: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собівартість </w:t>
            </w:r>
            <w:r w:rsidR="0091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90,7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125,3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інші операційні витрати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2" w:name="4628"/>
            <w:bookmarkEnd w:id="2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112,1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AD4" w:rsidRPr="00C43062" w:rsidRDefault="003E5AD4" w:rsidP="009156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Виручка від </w:t>
            </w:r>
            <w:r w:rsidR="0091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Відхилення за рахунок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збіль-шення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обсягу наданих послуг</w:t>
            </w:r>
          </w:p>
        </w:tc>
      </w:tr>
      <w:tr w:rsidR="00736327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27" w:rsidRPr="00C43062" w:rsidRDefault="00736327" w:rsidP="000C73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Усього доходів, тис. грн,</w:t>
            </w:r>
          </w:p>
          <w:p w:rsidR="00736327" w:rsidRPr="00C43062" w:rsidRDefault="00736327" w:rsidP="000C73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27" w:rsidRPr="00C43062" w:rsidRDefault="00736327" w:rsidP="000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27" w:rsidRPr="00C43062" w:rsidRDefault="00736327" w:rsidP="000C7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27" w:rsidRPr="00C43062" w:rsidRDefault="00736327" w:rsidP="000C733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736327" w:rsidRPr="00C43062" w:rsidTr="00736327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327" w:rsidRPr="00C43062" w:rsidRDefault="00736327" w:rsidP="009156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915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27" w:rsidRPr="00C43062" w:rsidRDefault="00736327" w:rsidP="009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327" w:rsidRPr="00C43062" w:rsidRDefault="00736327" w:rsidP="009D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237,4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27" w:rsidRPr="00C43062" w:rsidRDefault="00736327" w:rsidP="009D01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E5AD4" w:rsidRPr="00C43062" w:rsidTr="0073632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Чистий  прибуток (+), </w:t>
            </w:r>
          </w:p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збиток (-), </w:t>
            </w:r>
            <w:r w:rsidRPr="00C43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AD4" w:rsidRPr="00C43062" w:rsidRDefault="003E5AD4" w:rsidP="00C222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D4" w:rsidRPr="00C43062" w:rsidRDefault="003E5AD4" w:rsidP="00C2224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3E5AD4" w:rsidRPr="00C43062" w:rsidRDefault="003E5AD4" w:rsidP="003E5AD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</w:p>
    <w:p w:rsidR="00A4795E" w:rsidRPr="00C43062" w:rsidRDefault="00736327" w:rsidP="00A4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lastRenderedPageBreak/>
        <w:t>Отримано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дох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ід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 w:rsidR="00115E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в сумі </w:t>
      </w:r>
      <w:r w:rsidR="00115E6A" w:rsidRPr="00115E6A"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 xml:space="preserve">237,4 тис. грн при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  <w:t>запланованому</w:t>
      </w:r>
      <w:r w:rsidR="00115E6A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x-none"/>
        </w:rPr>
        <w:t xml:space="preserve"> </w:t>
      </w:r>
      <w:r w:rsidR="00115E6A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150,8</w:t>
      </w:r>
      <w:r w:rsidR="00115E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внаслідок збільшення обсяг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у</w:t>
      </w:r>
      <w:r w:rsidR="003E5AD4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надання диспетчерських послуг в порівнянні із запланованим. </w:t>
      </w:r>
    </w:p>
    <w:p w:rsidR="003E5AD4" w:rsidRPr="00C43062" w:rsidRDefault="003E5AD4" w:rsidP="00A4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Фактичні витрати 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перевищили плановий показник (</w:t>
      </w:r>
      <w:r w:rsidR="00D11041"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150,8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тис. грн 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) і склали 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237,4 тис. грн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через </w:t>
      </w:r>
      <w:r w:rsidR="00115E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збільшення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витрат на електричну енергію, зв’язок, канцтовари, 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підвищення 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мінімальн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ої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 </w:t>
      </w:r>
      <w:r w:rsidR="00D1104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заробітної плати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. </w:t>
      </w:r>
    </w:p>
    <w:p w:rsidR="003E5AD4" w:rsidRPr="00C43062" w:rsidRDefault="003E5AD4" w:rsidP="00A4795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На кінець звітного періоду дебіторська заборгованість обліковується в сумі 14,4 тис. грн, кредиторська заборгованість становить 19,5 тис. грн з оплати пра</w:t>
      </w:r>
      <w:r w:rsidR="00115E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ці та за розрахунками з бюджето</w:t>
      </w:r>
      <w:r w:rsidR="00DD55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м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 xml:space="preserve">). Дебіторська </w:t>
      </w:r>
      <w:r w:rsidR="00AB2A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та кредиторська заборгованість є поточними</w:t>
      </w: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x-none"/>
        </w:rPr>
        <w:t>.</w:t>
      </w:r>
    </w:p>
    <w:p w:rsidR="003E5AD4" w:rsidRPr="00C43062" w:rsidRDefault="003E5AD4" w:rsidP="00A4795E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 підсумками  2024 року підприємство спрацювало з беззбитковим результатом як і планувалося.  </w:t>
      </w:r>
    </w:p>
    <w:p w:rsidR="00E81587" w:rsidRPr="00C43062" w:rsidRDefault="00E81587" w:rsidP="0076752E">
      <w:pPr>
        <w:pStyle w:val="ac"/>
        <w:spacing w:line="276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«Комбінат комунальних підприємств» Роменської міської ради»</w:t>
      </w:r>
    </w:p>
    <w:p w:rsidR="00E81587" w:rsidRPr="00C43062" w:rsidRDefault="00E81587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sz w:val="24"/>
          <w:szCs w:val="24"/>
          <w:lang w:val="uk-UA" w:eastAsia="ru-RU"/>
        </w:rPr>
        <w:t xml:space="preserve">Комунальне підприємство «Комбінат комунальних підприємств» Роменської міської ради» надає послуги із санітарної очистки території громади (в тому числі вивезення </w:t>
      </w:r>
      <w:r w:rsidR="00C43062" w:rsidRPr="00C43062">
        <w:rPr>
          <w:rFonts w:ascii="Times New Roman" w:hAnsi="Times New Roman"/>
          <w:sz w:val="24"/>
          <w:szCs w:val="24"/>
          <w:lang w:val="uk-UA" w:eastAsia="ru-RU"/>
        </w:rPr>
        <w:t xml:space="preserve">твердих </w:t>
      </w:r>
      <w:r w:rsidRPr="00C43062">
        <w:rPr>
          <w:rFonts w:ascii="Times New Roman" w:hAnsi="Times New Roman"/>
          <w:sz w:val="24"/>
          <w:szCs w:val="24"/>
          <w:lang w:val="uk-UA" w:eastAsia="ru-RU"/>
        </w:rPr>
        <w:t>побутових відходів), утримання кладовищ, організації поховання померлих, благоустрою, озеленення тощо.</w:t>
      </w:r>
    </w:p>
    <w:p w:rsidR="00E81587" w:rsidRPr="00C43062" w:rsidRDefault="00E81587" w:rsidP="00E81587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кількість працівників – 110 осіб, у т. ч. 11 осіб – адміністративний персонал, 99 осіб – працівники. </w:t>
      </w:r>
    </w:p>
    <w:p w:rsidR="00E81587" w:rsidRPr="00C43062" w:rsidRDefault="00E81587" w:rsidP="00E81587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Таблиця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9"/>
        <w:gridCol w:w="1124"/>
        <w:gridCol w:w="13"/>
        <w:gridCol w:w="1258"/>
        <w:gridCol w:w="3414"/>
      </w:tblGrid>
      <w:tr w:rsidR="00B1135B" w:rsidRPr="00C43062" w:rsidTr="0076752E"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B1135B" w:rsidRPr="00C43062" w:rsidTr="0076752E">
        <w:tc>
          <w:tcPr>
            <w:tcW w:w="3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5B" w:rsidRPr="00C43062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35B" w:rsidRPr="00C43062" w:rsidRDefault="00B1135B" w:rsidP="00B11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10671,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13891,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пов’язане із залученням працівників до </w:t>
            </w:r>
            <w:r w:rsidR="00A4795E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суспільно корисних </w:t>
            </w:r>
            <w:r w:rsidR="00AB2A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робіт, які фінансуються за раху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нок коштів державного бюджету</w:t>
            </w: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11233,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12628,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15192,7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36342,2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Зростання вартості палива та запчастин, зб</w:t>
            </w:r>
            <w:r w:rsidR="00710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ільшення </w:t>
            </w:r>
            <w:proofErr w:type="spellStart"/>
            <w:r w:rsidR="00710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аморти-заційних</w:t>
            </w:r>
            <w:proofErr w:type="spellEnd"/>
            <w:r w:rsidR="0071097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відраху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вань за рахунок придбання автомобіля самоскид FORD</w:t>
            </w: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767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12426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32735,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2741,00                  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767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3110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812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812160" w:rsidP="008121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495,5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rPr>
          <w:trHeight w:val="539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послуг, тис. грн, </w:t>
            </w:r>
          </w:p>
          <w:p w:rsidR="00B1135B" w:rsidRPr="00C43062" w:rsidRDefault="00B1135B" w:rsidP="004C2A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   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18203,0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767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29835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3033,8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7675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4972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6752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доходи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11511,1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6752E" w:rsidRDefault="0076752E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9"/>
        <w:gridCol w:w="1124"/>
        <w:gridCol w:w="1271"/>
        <w:gridCol w:w="3414"/>
      </w:tblGrid>
      <w:tr w:rsidR="0076752E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2E" w:rsidRPr="00C43062" w:rsidRDefault="0076752E" w:rsidP="00EB3887">
            <w:pPr>
              <w:spacing w:after="0" w:line="276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2E" w:rsidRPr="00C43062" w:rsidRDefault="0076752E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2E" w:rsidRPr="00C43062" w:rsidRDefault="0076752E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2E" w:rsidRPr="00C43062" w:rsidRDefault="0076752E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15194,2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36374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76752E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15169,</w:t>
            </w:r>
            <w:r w:rsidR="00B1135B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24862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25,0         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11511</w:t>
            </w:r>
            <w:r w:rsidR="007675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Оплата суспільно корис</w:t>
            </w:r>
            <w:r w:rsidR="0071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них робіт з державного бюджету</w:t>
            </w:r>
            <w:r w:rsidRPr="00C43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 фінансова допомога з місцевого бюджету на придбання солі та піску; отримання к</w:t>
            </w:r>
            <w:r w:rsidR="007109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онтейнерів, фінансова підтримка</w:t>
            </w: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результат до оподаткування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31,8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5,7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1135B" w:rsidRPr="00C43062" w:rsidTr="00710971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  <w:r w:rsidR="007109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</w:p>
          <w:p w:rsidR="00B1135B" w:rsidRPr="00C43062" w:rsidRDefault="00B1135B" w:rsidP="00B113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35B" w:rsidRPr="00C43062" w:rsidRDefault="00B1135B" w:rsidP="00B113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B1135B" w:rsidRPr="00C43062" w:rsidRDefault="00B1135B" w:rsidP="00E81587">
      <w:pPr>
        <w:spacing w:after="0" w:line="276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81587" w:rsidRPr="00C43062" w:rsidRDefault="00E81587" w:rsidP="00EC33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 результаті операційної діяльності за </w:t>
      </w:r>
      <w:r w:rsidR="00AB2A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2024 рік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4795E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було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отрима</w:t>
      </w:r>
      <w:r w:rsidR="00A4795E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 чистий дохід (виручку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) від 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надання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послуг в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сумі 24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862,</w:t>
      </w:r>
      <w:r w:rsidR="00115E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  тис. гр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B2A10" w:rsidRPr="00115E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при запланованому</w:t>
      </w:r>
      <w:r w:rsidR="00115E6A" w:rsidRPr="00115E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15E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</w:t>
      </w:r>
      <w:r w:rsidR="00DC54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115E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169</w:t>
      </w:r>
      <w:r w:rsidR="00DC54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15E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115E6A" w:rsidRPr="00115E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115E6A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тис. грн</w:t>
      </w:r>
      <w:r w:rsidR="00115E6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</w:p>
    <w:p w:rsidR="00E81587" w:rsidRPr="00C43062" w:rsidRDefault="00E81587" w:rsidP="00EC33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Всього дохо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дів отрима</w:t>
      </w:r>
      <w:r w:rsidR="00A4795E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 36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 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374,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 тис. грн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в </w:t>
      </w:r>
      <w:proofErr w:type="spellStart"/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т.ч</w:t>
      </w:r>
      <w:proofErr w:type="spellEnd"/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.: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дохід від вивезення рідких побутових відходів – 1784,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 тис. 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(без ПДВ), дохід від вивезення, розміщення та захоронення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твердих побутових відходів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6104,6 тис. грн (без ПДВ),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дохід від послуг, наданих УЖКГ РМР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 16137,1 тис. 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(без ПДВ), дохід від </w:t>
      </w:r>
      <w:r w:rsidR="00DC54A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здійснення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пасажирських перевезень – 2623.4 тис. грн (без ПДВ),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компенсація пільг – 637.2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грн, фінансування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суспільно</w:t>
      </w:r>
      <w:r w:rsidR="00871E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корисних робіт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 2485</w:t>
      </w:r>
      <w:r w:rsidR="00871E7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 тис. грн,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надходження з міського бюджету на придбання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солі та піску </w:t>
      </w:r>
      <w:r w:rsidR="004F73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733,0 тис. грн,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фінансова підтримка </w:t>
      </w:r>
      <w:r w:rsidR="004F73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A4795E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5678,3тис. 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надання автотранспортних послуг </w:t>
      </w:r>
      <w:r w:rsidR="004F73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190,2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грн.</w:t>
      </w:r>
    </w:p>
    <w:p w:rsidR="00E81587" w:rsidRPr="00C43062" w:rsidRDefault="00E81587" w:rsidP="00EC33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Витрати за 2024 рік становлять 36342,2 тис. грн, з них: витрати на сировину </w:t>
      </w:r>
      <w:r w:rsidR="00153A36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та основні матеріали – 6581,1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тис. грн, витрати на паливо – 6537,3 тис. грн, витрати на оплату праці –13891,1 тис. грн;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ЄСВ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–</w:t>
      </w:r>
      <w:r w:rsidR="004F73C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3056,0 тис. грн; амортизація –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2653,6 тис. грн,</w:t>
      </w:r>
      <w:r w:rsidR="00153A36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інші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– </w:t>
      </w:r>
      <w:r w:rsidR="00153A36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1444,2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витрати на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водовідведення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811,2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 штраф за нестворені мі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сця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для осіб з інвалідністю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за 2023 рік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179,6 тис. грн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судові витрати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32,1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екологічний податок </w:t>
      </w:r>
      <w:r w:rsidR="00FE22A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297,1 тис.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грн,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ремонт автотранспорту </w:t>
      </w:r>
      <w:r w:rsidR="007B6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356,9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податок на землю </w:t>
      </w:r>
      <w:r w:rsidR="007B6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68,7 тис. 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послуга навантажувача </w:t>
      </w:r>
      <w:r w:rsidR="007B6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288,3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7B6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грн,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послуги бульдозера – 117,0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грн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страхування автотранспорту </w:t>
      </w:r>
      <w:r w:rsidR="007B6E8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28,0 тис.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грн. </w:t>
      </w:r>
    </w:p>
    <w:p w:rsidR="00E81587" w:rsidRPr="00C43062" w:rsidRDefault="00E81587" w:rsidP="00EC33F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За </w:t>
      </w:r>
      <w:r w:rsidR="00AB2A1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2024 рік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сплачено податків: ПДФО – 2545,5 тис. грн, вій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ськовий збір – 258,6 тис. грн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;</w:t>
      </w:r>
      <w:r w:rsidR="00BC26B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ПДВ – 4169,8 тис. грн;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екологічн</w:t>
      </w:r>
      <w:r w:rsidR="00A876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ий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подат</w:t>
      </w:r>
      <w:r w:rsidR="00A876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ок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A876B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303,1 тис. грн.</w:t>
      </w:r>
    </w:p>
    <w:p w:rsidR="00E81587" w:rsidRPr="00895648" w:rsidRDefault="00E81587" w:rsidP="00EC3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Дебіторська заборгованість за товари, роботи та послуги станом на 31.12.2024 складає 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1526,8  тис. грн, в т.</w:t>
      </w:r>
      <w:r w:rsidR="00BC26BF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ч. по розрахунках з населенням </w:t>
      </w:r>
      <w:r w:rsidR="00A876B5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95648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972,6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грн.</w:t>
      </w:r>
    </w:p>
    <w:p w:rsidR="00E81587" w:rsidRPr="00C43062" w:rsidRDefault="00E81587" w:rsidP="00EC3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Найбільшими дебіторами з юридичних осіб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є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КП </w:t>
      </w:r>
      <w:r w:rsidR="00647C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</w:t>
      </w:r>
      <w:r w:rsidR="00647C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ктурно-планувальне підприємство»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647C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–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76,3 тис. грн;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Комунсервіс</w:t>
      </w:r>
      <w:proofErr w:type="spellEnd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-Д» </w:t>
      </w:r>
      <w:r w:rsidR="00647C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59,7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ФОП 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Стетюха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Н.В. </w:t>
      </w:r>
      <w:r w:rsidR="00180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8</w:t>
      </w:r>
      <w:r w:rsid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,8 тис.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ФОП 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Вініченко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О.І.</w:t>
      </w:r>
      <w:r w:rsidR="00180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10,6 тис. грн; ФОП </w:t>
      </w:r>
      <w:proofErr w:type="spellStart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Лавірко</w:t>
      </w:r>
      <w:proofErr w:type="spellEnd"/>
      <w:r w:rsidR="00AB2A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5,7 тис. грн; ФОП </w:t>
      </w:r>
      <w:proofErr w:type="spellStart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Рекута</w:t>
      </w:r>
      <w:proofErr w:type="spellEnd"/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0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9,1 тис. грн;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ФОП Мельник В. </w:t>
      </w:r>
      <w:r w:rsidR="001803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2,9 тис. грн.</w:t>
      </w:r>
    </w:p>
    <w:p w:rsidR="00E81587" w:rsidRPr="00C43062" w:rsidRDefault="00E81587" w:rsidP="00EC3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Дебіторська заборгованість утворилася через неспроможність підприємства певний час реєструвати податкові накладні та неотримання контрагентами оплати в повному обсязі. На сьогоднішній день проводиться реєстрація податкових накладних та погашається дебіторська заборгованість. Також підприємство звернулося до суду за позовом до КП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Архітектурн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о-планувальне підприємство»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Хмелівської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яке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найбільшим дебітором, отримано наказ Господарського суду Сумської області про примусове виконання рішення, на підставі якого подана заява про відкриття виконавчого п</w:t>
      </w:r>
      <w:r w:rsidR="00CC600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ровадження 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виконавчої служби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Також підприємством проводиться претензійно-позовна робота по стягненню заборгованості з населення. </w:t>
      </w:r>
    </w:p>
    <w:p w:rsidR="00E81587" w:rsidRPr="00C43062" w:rsidRDefault="00E81587" w:rsidP="00EC33F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за товари, роботи та послуги станом на 31.12.2024 стан</w:t>
      </w:r>
      <w:r w:rsidR="00EC33F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овить 458,8  тис. грн.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Найбільшими кредиторами є: ФОП «</w:t>
      </w:r>
      <w:r w:rsidR="00A4795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БІЛОКОНЬ С.В.»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A4795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99,9 тис. грн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A4795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поставки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піск</w:t>
      </w:r>
      <w:r w:rsidR="00A4795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39038D" w:rsidRPr="00C43062" w:rsidRDefault="0039038D" w:rsidP="0039038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результатом діяльності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оці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отримало чистий прибуток в сумі 26,1 тис. грн, при плановому показнику </w:t>
      </w:r>
      <w:r w:rsidR="002479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1,4 тис. грн. </w:t>
      </w:r>
    </w:p>
    <w:p w:rsidR="0009792F" w:rsidRPr="00C43062" w:rsidRDefault="0009792F" w:rsidP="00247945">
      <w:pPr>
        <w:pStyle w:val="ac"/>
        <w:spacing w:before="240" w:after="120" w:line="276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</w:t>
      </w:r>
      <w:proofErr w:type="spellStart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Ільїнський</w:t>
      </w:r>
      <w:proofErr w:type="spellEnd"/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 xml:space="preserve"> ярмарок» Роменської міської ради»</w:t>
      </w:r>
    </w:p>
    <w:p w:rsidR="0009792F" w:rsidRPr="00C43062" w:rsidRDefault="0009792F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sz w:val="24"/>
          <w:szCs w:val="24"/>
          <w:lang w:val="uk-UA" w:eastAsia="ru-RU"/>
        </w:rPr>
        <w:t>Підприємство надає послуги суб’єктам підприємницької діяльності у сфері торгівлі на ринку, виконує роботи з обслуговування території ринку та Міського парку культури і відпочинку ім. Т. Г. Шевченка.</w:t>
      </w:r>
    </w:p>
    <w:p w:rsidR="0009792F" w:rsidRPr="00C43062" w:rsidRDefault="0009792F" w:rsidP="0009792F">
      <w:pPr>
        <w:tabs>
          <w:tab w:val="left" w:pos="993"/>
        </w:tabs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кількість штатних працівників – 16 осіб, у т. ч. адміністративний персонал – 5 осіб, працівники – 11 осіб.</w:t>
      </w:r>
    </w:p>
    <w:p w:rsidR="0009792F" w:rsidRPr="00C43062" w:rsidRDefault="0009792F" w:rsidP="0009792F">
      <w:pPr>
        <w:spacing w:after="0" w:line="268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Таблиця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1"/>
        <w:gridCol w:w="1146"/>
        <w:gridCol w:w="1138"/>
        <w:gridCol w:w="3523"/>
      </w:tblGrid>
      <w:tr w:rsidR="0009792F" w:rsidRPr="00C43062" w:rsidTr="00915697"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Назва фінансового показника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09792F" w:rsidRPr="00C43062" w:rsidTr="00915697"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1627</w:t>
            </w:r>
            <w:r w:rsidR="00BC26B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1983,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 w:rsidP="00C7708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за рахунок підвищення розміру мінімальної </w:t>
            </w:r>
            <w:r w:rsidR="00C77081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заробітної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праці</w:t>
            </w: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  штатного працівника, грн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9039,0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BC26B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0330,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 </w:t>
            </w:r>
          </w:p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2369,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3017,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 w:rsidP="003C3D5B">
            <w:pPr>
              <w:tabs>
                <w:tab w:val="left" w:pos="99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Збільшення за рахунок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</w:t>
            </w:r>
            <w:r w:rsidR="003C3D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-щення</w:t>
            </w:r>
            <w:proofErr w:type="spellEnd"/>
            <w:r w:rsidR="003C3D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вартості електроенергії та послуг з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вивезення листя з території парку, проведення ремонтних роб</w:t>
            </w:r>
            <w:r w:rsidR="003C3D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іт та фарбування дитячих майданч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иків, висадка квітів на території парку</w:t>
            </w: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 w:rsidP="00915697">
            <w:pPr>
              <w:spacing w:after="0" w:line="26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1926,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2506,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441,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508,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   податок на прибуток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2,6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Виручка від наданих послуг, тис. грн, </w:t>
            </w:r>
          </w:p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2853,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3635,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підвищення вартості послуг підприємцям по ринку та парку</w:t>
            </w: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09792F">
            <w:pPr>
              <w:spacing w:after="0" w:line="268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475,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606,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915697" w:rsidRDefault="0091569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1"/>
        <w:gridCol w:w="1146"/>
        <w:gridCol w:w="1138"/>
        <w:gridCol w:w="3523"/>
      </w:tblGrid>
      <w:tr w:rsidR="003C3D5B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B" w:rsidRPr="00C43062" w:rsidRDefault="003C3D5B" w:rsidP="003C3D5B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B" w:rsidRPr="00C43062" w:rsidRDefault="003C3D5B" w:rsidP="003C3D5B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B" w:rsidRPr="00C43062" w:rsidRDefault="003C3D5B" w:rsidP="003C3D5B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5B" w:rsidRPr="00C43062" w:rsidRDefault="003C3D5B" w:rsidP="003C3D5B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2378,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3029,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 w:rsidP="00A56C9C">
            <w:pPr>
              <w:spacing w:after="0" w:line="26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A56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1340,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1835,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 w:line="268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1037,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BC26B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1194,</w:t>
            </w:r>
            <w:r w:rsidR="0009792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792F" w:rsidRPr="00C43062" w:rsidTr="00915697"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Чистий  прибуток (+), збиток (–),</w:t>
            </w:r>
          </w:p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A56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92F" w:rsidRPr="00C43062" w:rsidRDefault="0009792F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  <w:r w:rsidR="00A56C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11,9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92F" w:rsidRPr="00C43062" w:rsidRDefault="0009792F">
            <w:pPr>
              <w:spacing w:after="0" w:line="26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9792F" w:rsidRPr="00895648" w:rsidRDefault="0009792F" w:rsidP="0009792F">
      <w:pPr>
        <w:tabs>
          <w:tab w:val="left" w:pos="99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792F" w:rsidRPr="007A7EF8" w:rsidRDefault="0009792F" w:rsidP="00153A36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Чистий дохід  за  2024 р</w:t>
      </w:r>
      <w:r w:rsidR="007A7EF8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ік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становить 3029</w:t>
      </w:r>
      <w:r w:rsidR="007A7EF8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тис грн</w:t>
      </w:r>
      <w:r w:rsidR="00895648"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(план – 2378,0 тис. грн)</w:t>
      </w:r>
      <w:r w:rsidRPr="008956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 т. ч. дохід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надання послуг по ринку – 1835</w:t>
      </w:r>
      <w:r w:rsidR="007A7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тис. грн, отримання коштів 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місцевого бюджету за послуги </w:t>
      </w:r>
      <w:r w:rsidR="007A7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обслуговуванн</w:t>
      </w:r>
      <w:r w:rsidR="007A7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7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іського парку культури та відпочинку ім. Т.Г. Шевченка – 1194</w:t>
      </w:r>
      <w:r w:rsidR="007A7E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 тис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</w:t>
      </w:r>
    </w:p>
    <w:p w:rsidR="0009792F" w:rsidRPr="00C43062" w:rsidRDefault="00BC26BF" w:rsidP="00153A36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 за </w:t>
      </w:r>
      <w:r w:rsidR="0009792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9792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становлять 3017,</w:t>
      </w:r>
      <w:r w:rsidR="0009792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 тис. грн в і порівнянні з планови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 показником </w:t>
      </w:r>
      <w:r w:rsidR="006F0E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6F0E7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2369,0</w:t>
      </w:r>
      <w:r w:rsidR="006F0E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грн)</w:t>
      </w:r>
      <w:r w:rsidR="006F0E74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збільшились </w:t>
      </w:r>
      <w:r w:rsidR="006F0E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648,9 тис. грн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792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пов’язано з підвищення розміру мінімальної заробітної плати, збільшенням вартості електроенергії, збільшенням вартості </w:t>
      </w:r>
      <w:r w:rsidR="006F0E7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 з вивезення листя</w:t>
      </w:r>
      <w:r w:rsidR="0009792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території парку, крім того були проведені ремонтні роботи та фарбування дитячих майданчиків,  висаджено квіти на території парку. </w:t>
      </w:r>
    </w:p>
    <w:p w:rsidR="0009792F" w:rsidRPr="00C43062" w:rsidRDefault="0009792F" w:rsidP="00153A36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– поточна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т. ч: КП «ККП» РМР» – 3,8 тис. грн, КП «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Ромникомунтепло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РМР» 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BC26B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8,4 тис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грн, ПП «Ера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-Сервіс» 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0,2 тис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грн, КП «Міськводоканал»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РМР» –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0,2 тис грн, розрахунки з бюджетом – 20,8 тис. грн, розрахунки по оплаті праці – 42,6 тис. грн, розрахунки по </w:t>
      </w:r>
      <w:r w:rsidR="00A4795E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Єдиному соціальному внеску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27,1 тис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</w:t>
      </w:r>
    </w:p>
    <w:p w:rsidR="0009792F" w:rsidRPr="00C43062" w:rsidRDefault="0009792F" w:rsidP="00153A36">
      <w:pPr>
        <w:tabs>
          <w:tab w:val="left" w:pos="99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Станом на 25.01.2025 кредиторська заборгованість погашена. На даний час заборгованості по податках до бюджету немає.</w:t>
      </w:r>
    </w:p>
    <w:p w:rsidR="0039038D" w:rsidRPr="00C43062" w:rsidRDefault="0039038D" w:rsidP="0039038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результатом діяльності</w:t>
      </w:r>
      <w:r w:rsidR="00A3622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2024 році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підприємство отримало чистий прибуток в сумі 11,9 тис. грн, при плановому показнику 9,0 тис. грн. </w:t>
      </w:r>
    </w:p>
    <w:p w:rsidR="00BC26BF" w:rsidRDefault="00BC26BF" w:rsidP="00466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4569" w:rsidRPr="00C43062" w:rsidRDefault="00E14569" w:rsidP="00A3622A">
      <w:pPr>
        <w:pStyle w:val="ac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hAnsi="Times New Roman"/>
          <w:b/>
          <w:sz w:val="24"/>
          <w:szCs w:val="24"/>
          <w:lang w:val="uk-UA" w:eastAsia="ru-RU"/>
        </w:rPr>
        <w:t>Комунальне підприємство «Роменське міськрайонне бюро технічної інвентаризації»</w:t>
      </w:r>
    </w:p>
    <w:p w:rsidR="00E14569" w:rsidRPr="00C43062" w:rsidRDefault="00A3622A" w:rsidP="00C43062">
      <w:pPr>
        <w:pStyle w:val="ac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Підприємство надає послуги з проведення</w:t>
      </w:r>
      <w:r w:rsidR="00E14569" w:rsidRPr="00C43062">
        <w:rPr>
          <w:rFonts w:ascii="Times New Roman" w:hAnsi="Times New Roman"/>
          <w:sz w:val="24"/>
          <w:szCs w:val="24"/>
          <w:lang w:val="uk-UA" w:eastAsia="ru-RU"/>
        </w:rPr>
        <w:t xml:space="preserve"> технічної інвентаризації об’єктів нерухомого майна з виготовленням відповідної технічної документації.</w:t>
      </w:r>
    </w:p>
    <w:p w:rsidR="00E14569" w:rsidRPr="00C43062" w:rsidRDefault="00E14569" w:rsidP="00F32B6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Середньооблікова чисельність штатних працівників: 9 осіб.</w:t>
      </w:r>
    </w:p>
    <w:p w:rsidR="00A4795E" w:rsidRPr="00C43062" w:rsidRDefault="00A4795E" w:rsidP="00C77081">
      <w:pPr>
        <w:spacing w:after="0" w:line="268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Таблиця 7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4"/>
        <w:gridCol w:w="26"/>
        <w:gridCol w:w="21"/>
        <w:gridCol w:w="1109"/>
        <w:gridCol w:w="1247"/>
        <w:gridCol w:w="3141"/>
      </w:tblGrid>
      <w:tr w:rsidR="00CC600D" w:rsidRPr="00C43062" w:rsidTr="00CC600D">
        <w:trPr>
          <w:jc w:val="right"/>
        </w:trPr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3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CC600D" w:rsidRPr="00C43062" w:rsidTr="001717DA">
        <w:trPr>
          <w:jc w:val="right"/>
        </w:trPr>
        <w:tc>
          <w:tcPr>
            <w:tcW w:w="4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3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C600D" w:rsidRPr="00C43062" w:rsidTr="001717DA">
        <w:trPr>
          <w:jc w:val="right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00D" w:rsidRPr="00C43062" w:rsidRDefault="00CC600D" w:rsidP="00C430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01DF6" w:rsidRPr="00C43062" w:rsidTr="001717DA">
        <w:tblPrEx>
          <w:jc w:val="left"/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працівників, тис. грн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1272,0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1858,9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6A5B12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рахунок зростання міні</w:t>
            </w:r>
            <w:r w:rsidR="00001DF6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мальної заробітної плати та обсягів виконаних робіт</w:t>
            </w:r>
          </w:p>
        </w:tc>
      </w:tr>
      <w:tr w:rsidR="00001DF6" w:rsidRPr="00C43062" w:rsidTr="001717DA">
        <w:tblPrEx>
          <w:jc w:val="left"/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17200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2403,7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6A5B12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</w:t>
            </w:r>
            <w:r w:rsidR="00001DF6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нок зростання обсягів робіт</w:t>
            </w: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91569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1120,0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1533,4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581,6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869,7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3622A" w:rsidRPr="00C43062" w:rsidTr="00EB3887">
        <w:tblPrEx>
          <w:jc w:val="left"/>
        </w:tblPrEx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2A" w:rsidRPr="00C43062" w:rsidRDefault="00A3622A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2A" w:rsidRPr="00C43062" w:rsidRDefault="00A3622A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2A" w:rsidRPr="00C43062" w:rsidRDefault="00A3622A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22A" w:rsidRPr="00C43062" w:rsidRDefault="00A3622A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 витрати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91569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</w:t>
            </w:r>
            <w:r w:rsidR="009156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грн,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2887,6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6A5B12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 за раху</w:t>
            </w:r>
            <w:r w:rsidR="00001DF6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нок зростання обсягів робіт</w:t>
            </w: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податок на додану вартість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481,3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2406,3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734610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73461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1704,0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2406,3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фінансові доходи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01DF6" w:rsidRPr="00C43062" w:rsidTr="001717DA">
        <w:tblPrEx>
          <w:jc w:val="left"/>
        </w:tblPrEx>
        <w:tc>
          <w:tcPr>
            <w:tcW w:w="4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+ 2,0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+ 2,6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F6" w:rsidRPr="00C43062" w:rsidRDefault="00001DF6" w:rsidP="0039038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001DF6" w:rsidRPr="00C43062" w:rsidRDefault="00001DF6" w:rsidP="00E145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4569" w:rsidRPr="00C43062" w:rsidRDefault="00181E77" w:rsidP="00E145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Фактичний обсяг</w:t>
      </w:r>
      <w:r w:rsidR="00E14569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доходів за 2024 рік 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ть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FFB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2406,3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 при запланованих </w:t>
      </w:r>
      <w:r w:rsidR="000A2FFB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1704,0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 </w:t>
      </w:r>
      <w:r w:rsidR="00E14569" w:rsidRP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</w:t>
      </w:r>
      <w:r w:rsidR="00E14569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рахунок збільшення обсягів виконаних робіт.</w:t>
      </w:r>
    </w:p>
    <w:p w:rsidR="00E14569" w:rsidRDefault="00E14569" w:rsidP="00E145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Фактичні витрати 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склали </w:t>
      </w:r>
      <w:r w:rsidR="00181E77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2403,7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 та більше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планових 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0A2FFB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1702,0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A2F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рахунок витрат на оплату праці у зв’язку з підвищенням мін</w:t>
      </w:r>
      <w:r w:rsidR="00C3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імальної заробітної плати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зростанням обсягів робіт.</w:t>
      </w:r>
    </w:p>
    <w:p w:rsidR="00635E9E" w:rsidRPr="00C43062" w:rsidRDefault="00635E9E" w:rsidP="00E1456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Дебіторська та кредиторська заборгованість є поточною та складається в основному з послуг для населення.</w:t>
      </w:r>
    </w:p>
    <w:p w:rsidR="0039038D" w:rsidRPr="00C43062" w:rsidRDefault="0039038D" w:rsidP="0039038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="00C3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результатом діяльності 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C3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ро</w:t>
      </w:r>
      <w:r w:rsidR="00181E7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підприємство отримало чистий прибуток в сумі 2,6 тис. грн, при плановому показнику 2,0 тис. грн. </w:t>
      </w:r>
    </w:p>
    <w:p w:rsidR="00153A36" w:rsidRPr="00C43062" w:rsidRDefault="00153A36" w:rsidP="00153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53A36" w:rsidRPr="00C43062" w:rsidRDefault="00153A36" w:rsidP="006B10D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Комунальне підприємство «Міськводоканал» Роменської міської ради»</w:t>
      </w:r>
    </w:p>
    <w:p w:rsidR="00153A36" w:rsidRPr="00C43062" w:rsidRDefault="00153A36" w:rsidP="00C43062">
      <w:pPr>
        <w:tabs>
          <w:tab w:val="left" w:pos="99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Підприємство надає послуги з централізованого водопостачання та водовідведення населенню, бюджетним установам та іншим споживачам</w:t>
      </w:r>
      <w:r w:rsid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</w:t>
      </w:r>
      <w:r w:rsidR="00C43062" w:rsidRPr="00C430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44605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 </w:t>
      </w:r>
      <w:r w:rsidR="00C43062" w:rsidRPr="00C43062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вивезення </w:t>
      </w:r>
      <w:r w:rsidR="00C43062">
        <w:rPr>
          <w:rFonts w:ascii="Times New Roman" w:hAnsi="Times New Roman" w:cs="Times New Roman"/>
          <w:sz w:val="24"/>
          <w:szCs w:val="24"/>
          <w:lang w:val="uk-UA" w:eastAsia="ru-RU"/>
        </w:rPr>
        <w:t>рідких</w:t>
      </w:r>
      <w:r w:rsidR="00C43062" w:rsidRPr="00C430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43062" w:rsidRPr="00C43062">
        <w:rPr>
          <w:rFonts w:ascii="Times New Roman" w:hAnsi="Times New Roman" w:cs="Times New Roman"/>
          <w:sz w:val="24"/>
          <w:szCs w:val="24"/>
          <w:lang w:val="uk-UA" w:eastAsia="ru-RU"/>
        </w:rPr>
        <w:t>побутових відходів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53A36" w:rsidRPr="00C43062" w:rsidRDefault="00153A36" w:rsidP="00C4306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Середньооблікова чисельність штатних працівників – 123 особи. </w:t>
      </w:r>
    </w:p>
    <w:p w:rsidR="00A4795E" w:rsidRPr="00C43062" w:rsidRDefault="00A4795E" w:rsidP="00A4795E">
      <w:pPr>
        <w:spacing w:after="0" w:line="268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Таблиця 8</w:t>
      </w:r>
    </w:p>
    <w:tbl>
      <w:tblPr>
        <w:tblW w:w="489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4"/>
        <w:gridCol w:w="1237"/>
        <w:gridCol w:w="1166"/>
        <w:gridCol w:w="2931"/>
      </w:tblGrid>
      <w:tr w:rsidR="00057EED" w:rsidRPr="00C43062" w:rsidTr="00D543F7">
        <w:trPr>
          <w:jc w:val="right"/>
        </w:trPr>
        <w:tc>
          <w:tcPr>
            <w:tcW w:w="4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фінансового показника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 рік</w:t>
            </w: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Примітка 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факт</w:t>
            </w:r>
          </w:p>
        </w:tc>
        <w:tc>
          <w:tcPr>
            <w:tcW w:w="2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77081" w:rsidRPr="00C43062" w:rsidTr="00D543F7">
        <w:trPr>
          <w:jc w:val="right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81" w:rsidRPr="00C43062" w:rsidRDefault="00C77081" w:rsidP="00C770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81" w:rsidRPr="00C43062" w:rsidRDefault="00C77081" w:rsidP="00C770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81" w:rsidRPr="00C43062" w:rsidRDefault="00C77081" w:rsidP="00C770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81" w:rsidRPr="00C43062" w:rsidRDefault="00C77081" w:rsidP="00C770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Фонд оплати праці штатних працівників (далі – ФОП), тис. грн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17468,0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17537,2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Середньомісячна заробітна плата  штатного працівника, грн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10179,5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11881,57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44605B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</w:t>
            </w:r>
            <w:r w:rsidR="00BC26B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окладів </w:t>
            </w:r>
            <w:r w:rsidR="007014D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після складання фінансового плану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витрат від звичайної діяльності, тис. грн, </w:t>
            </w:r>
          </w:p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38794,5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46176,6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44605B" w:rsidRDefault="0044605B">
      <w:r>
        <w:br w:type="page"/>
      </w:r>
    </w:p>
    <w:tbl>
      <w:tblPr>
        <w:tblW w:w="489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2"/>
        <w:gridCol w:w="12"/>
        <w:gridCol w:w="1237"/>
        <w:gridCol w:w="1148"/>
        <w:gridCol w:w="18"/>
        <w:gridCol w:w="2931"/>
      </w:tblGrid>
      <w:tr w:rsidR="0044605B" w:rsidRPr="00C43062" w:rsidTr="00EB388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5B" w:rsidRPr="00C43062" w:rsidRDefault="0044605B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5B" w:rsidRPr="00C43062" w:rsidRDefault="0044605B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5B" w:rsidRPr="00C43062" w:rsidRDefault="0044605B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05B" w:rsidRPr="00C43062" w:rsidRDefault="0044605B" w:rsidP="00EB388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8E0F9A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собівартість </w:t>
            </w:r>
            <w:r w:rsidR="008E0F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наданих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35714,2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42326,5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Збільшення</w:t>
            </w:r>
            <w:r w:rsidR="007014D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фактичн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 w:rsidR="007014D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витрат через зростання цін на електроенергію, товари і послуги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адміністративні витрати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1808,8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2452,3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Більші фактичні витрати на обслуговування автомобілів, служб</w:t>
            </w:r>
            <w:r w:rsidR="00BC26BF"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ові відрядження, амортизація 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 на збут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1055,2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934,7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операційні витрати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180,00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452,8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A77F1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Лікарняні, </w:t>
            </w:r>
            <w:r w:rsidR="00A77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розрахунково-касові операції</w:t>
            </w:r>
          </w:p>
        </w:tc>
      </w:tr>
      <w:tr w:rsidR="00057EED" w:rsidRPr="00C43062" w:rsidTr="00D543F7">
        <w:trPr>
          <w:trHeight w:val="70"/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DF" w:rsidRPr="00C43062" w:rsidRDefault="007014D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податок на прибуток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36,3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10,3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DF" w:rsidRPr="00C43062" w:rsidRDefault="007014D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Виручка від </w:t>
            </w:r>
            <w:r w:rsidR="00A77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послуг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тис. грн,</w:t>
            </w:r>
          </w:p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.: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42720,0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37814,0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057EED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Зменшення обсягів реалізації юридичним та фізичним особам</w:t>
            </w:r>
          </w:p>
        </w:tc>
      </w:tr>
      <w:tr w:rsidR="00057EED" w:rsidRPr="00C43062" w:rsidTr="00D543F7">
        <w:trPr>
          <w:jc w:val="right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податок на додану вартість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7120,0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6302,3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Усього доходів, тис. грн, </w:t>
            </w:r>
          </w:p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у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т.ч</w:t>
            </w:r>
            <w:proofErr w:type="spellEnd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.: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38960,0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46223,5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A77F17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чистий дохід від </w:t>
            </w:r>
            <w:r w:rsidR="00A77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послуг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35600,0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31511,7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57EED" w:rsidRPr="00C43062" w:rsidTr="00D543F7">
        <w:trPr>
          <w:jc w:val="righ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операційні доходи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2040,0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10217,1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057EED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Фінансова підтримка з місцевого бюджету</w:t>
            </w:r>
          </w:p>
        </w:tc>
      </w:tr>
      <w:tr w:rsidR="00057EED" w:rsidRPr="00C43062" w:rsidTr="00D543F7">
        <w:trPr>
          <w:jc w:val="righ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інші доходи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1320,0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4494,7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Амортизація на майно , що знаходиться в </w:t>
            </w:r>
            <w:proofErr w:type="spellStart"/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господарсь</w:t>
            </w:r>
            <w:proofErr w:type="spellEnd"/>
            <w:r w:rsidR="00A77F1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 віданні, отримане як гуманітарна допомога</w:t>
            </w:r>
          </w:p>
        </w:tc>
      </w:tr>
      <w:tr w:rsidR="00057EED" w:rsidRPr="00C43062" w:rsidTr="00D543F7">
        <w:trPr>
          <w:jc w:val="right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Чистий  прибуток (+), збиток (–),</w:t>
            </w:r>
          </w:p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 грн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165,5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3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46,9</w:t>
            </w:r>
          </w:p>
          <w:p w:rsidR="00BC26BF" w:rsidRPr="00C43062" w:rsidRDefault="00BC26BF" w:rsidP="00B237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BF" w:rsidRPr="00C43062" w:rsidRDefault="00BC26BF" w:rsidP="00B237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014DF" w:rsidRPr="00C43062" w:rsidRDefault="007014DF" w:rsidP="007014D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014DF" w:rsidRPr="00C43062" w:rsidRDefault="007014DF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2024 рік чистий дохід від </w:t>
      </w:r>
      <w:r w:rsidR="00A77F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 </w:t>
      </w:r>
      <w:r w:rsidR="00455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основної діяльності склав 31511,7 тис. грн, </w:t>
      </w:r>
      <w:r w:rsidR="00455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1717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 w:rsidR="00455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1717D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A2FFB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35600,0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грн), в </w:t>
      </w:r>
      <w:proofErr w:type="spellStart"/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т.ч</w:t>
      </w:r>
      <w:proofErr w:type="spellEnd"/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.:</w:t>
      </w:r>
      <w:r w:rsidR="001717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18008,7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3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дохід від надання послуг</w:t>
      </w:r>
      <w:r w:rsidR="00455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централізованого 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водопостачання, 12353,3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D3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дохід від надання послуг 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централізованого 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водовідведення, 1149,7 тис. грн </w:t>
      </w:r>
      <w:r w:rsidR="008D3F7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доходи від надання інших супутніх послуг (викачка нечистот, надання послуг спецтехнікою, опломбування лічильників, видача технічних умов на підключення до мережі, 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лабораторний аналіз стічних вод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7014DF" w:rsidRPr="00C43062" w:rsidRDefault="007014DF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операційні дох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 – 10217,1 тис. грн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53A3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них: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131,0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штрафи за незаконн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 споживання води, 8,9 тис. грн – оренда авто, 2,1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відсотки банка</w:t>
      </w:r>
      <w:r w:rsidR="005F15C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отримані на залишки кош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тів на рахунках, 114,6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відшкодування витрат на оплату праці працівник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ів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суспільно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рисних роботах, 9912,0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фінансова підтрим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 від засновника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36,0 тис. грн. – отримані </w:t>
      </w:r>
      <w:r w:rsidR="00AC66E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товаро-матеріальні цінності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житлово-комунального господарства Роменської міської ради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14DF" w:rsidRPr="00C43062" w:rsidRDefault="00057EED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Інші доходи – 4494,7 тис. грн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них: 17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87,8 тис. грн</w:t>
      </w:r>
      <w:r w:rsidR="002D3695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2D3695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сума </w:t>
      </w:r>
      <w:r w:rsidR="00F32B6A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амортизації,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нарахованої на майно, що знаходиться в господарськ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 віданні,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2217,3 тис. грн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сума амортизації,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нарахованої на майно, що передане як гуман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ітарна допомога, 489,6 тис. грн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дохід від введення в експлуатацію матеріалів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придбаних за рахунок фін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ансової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підтримки.</w:t>
      </w:r>
    </w:p>
    <w:p w:rsidR="007014DF" w:rsidRPr="00C43062" w:rsidRDefault="007014DF" w:rsidP="00153A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Всього за 2024 рік </w:t>
      </w:r>
      <w:r w:rsidR="00AC66E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46223,5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 грн доходу, що на 7263,5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більше запланова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 показника 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38960,00 тис. грн</w:t>
      </w:r>
      <w:r w:rsidR="00E371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014DF" w:rsidRPr="00C43062" w:rsidRDefault="007014DF" w:rsidP="00153A3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Всього за 2024 рік </w:t>
      </w:r>
      <w:r w:rsidR="00AC66E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понесено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46176,6 тис. грн витрат, що на 7382,1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більше запланованого показника </w:t>
      </w:r>
      <w:r w:rsidR="001E7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38794,5 тис. грн</w:t>
      </w:r>
      <w:r w:rsidR="001E77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Збільшення витрат пояснюється зростанням цін на електроенергію, паливо, сировину та основні матеріали, послуги сторонніх організацій.</w:t>
      </w:r>
    </w:p>
    <w:p w:rsidR="007014DF" w:rsidRPr="00C43062" w:rsidRDefault="007014DF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кінець звітного період</w:t>
      </w:r>
      <w:r w:rsidR="00153A3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дебіторська заборгованість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склала 4924,6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4306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тому числі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4541,3 тис. грн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заборгованість за послуги 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водопостачання, водовідведення та інші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послуги, з них 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1388,1 тис.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прострочена; 147,3 тис. грн – дебіторська заборгованість за розрахун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ками з бюджетом; 236,0 тис. грн 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–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інша поточна дебіторська заборгованість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стягнення дебіторс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ької заборгованості з населення та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юридичних осіб підприємством ведеться претензійно-позовна та роз’яснювальна робота. 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суду подано 17 позовних заяв на фізичних осіб на загальну суму 158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,5 тис.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грн. С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 заяв на суму 53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6B31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тис.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грн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передано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виконавчої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служб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7014DF" w:rsidRPr="00C43062" w:rsidRDefault="00AC66EF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Поточні зобов’язання </w:t>
      </w:r>
      <w:r w:rsidR="00F00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складають 4051,7 тис. грн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 них: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1671,4 тис. грн </w:t>
      </w:r>
      <w:r w:rsidR="00F00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кредиторська заборгованість за товари, роботи, послуги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 619,6 тис. грн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uk-UA" w:eastAsia="ru-RU"/>
          </w:rPr>
          <m:t>–</m:t>
        </m:r>
      </m:oMath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поточна заборгованість до бюджету,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767,7 тис. грн </w:t>
      </w:r>
      <w:r w:rsidR="00F00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поточна заборгованість з оплати праці,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217,6 тис. грн </w:t>
      </w:r>
      <w:r w:rsidR="00F00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поточн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заборгованість зі страхування, 775,4 тис. грн </w:t>
      </w:r>
      <w:r w:rsidR="00F00F7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7014DF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інші поточні зобов’язання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014DF" w:rsidRPr="00C43062" w:rsidRDefault="007014DF" w:rsidP="00153A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Заборгованість з виплати заробітної плати та зі сплати податків відсутня.</w:t>
      </w:r>
    </w:p>
    <w:p w:rsidR="0039038D" w:rsidRPr="00C43062" w:rsidRDefault="0039038D" w:rsidP="0039038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результатом діяльності </w:t>
      </w:r>
      <w:r w:rsidR="00C3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2024 р</w:t>
      </w:r>
      <w:r w:rsidR="00C354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підприємство отримало чистий прибуток в сумі 46,9 тис. грн, при плановому показнику 165,5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тис. грн. </w:t>
      </w:r>
    </w:p>
    <w:p w:rsidR="0046634C" w:rsidRPr="00C43062" w:rsidRDefault="0046634C" w:rsidP="00466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Підсумки:</w:t>
      </w:r>
    </w:p>
    <w:p w:rsidR="0046634C" w:rsidRPr="00C43062" w:rsidRDefault="0046634C" w:rsidP="00EA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результатами  роботи у 2024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році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8 підприємств:</w:t>
      </w:r>
    </w:p>
    <w:p w:rsidR="0046634C" w:rsidRPr="00C43062" w:rsidRDefault="0046634C" w:rsidP="00EA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</w:t>
      </w:r>
      <w:r w:rsidR="00686CA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али з прибутко</w:t>
      </w:r>
      <w:r w:rsidR="003B3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686CA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«Житло-</w:t>
      </w:r>
      <w:proofErr w:type="spellStart"/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Експлутація</w:t>
      </w:r>
      <w:proofErr w:type="spellEnd"/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РМР» (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ФІЛІМОНОВА Олена), КП «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Ільїнський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ярмарок» РМР» (РІПЧАНСЬКИЙ Роман), КП «</w:t>
      </w:r>
      <w:proofErr w:type="spellStart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Ромникомунтепло</w:t>
      </w:r>
      <w:proofErr w:type="spellEnd"/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РМР» (МЕГА Віталій), КП «Роменське </w:t>
      </w:r>
      <w:r w:rsidR="003B3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МРБТІ</w:t>
      </w:r>
      <w:r w:rsidR="00686CA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(РІШНЯК Анатолій),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КП «Міськводоканал» РМР» (ГОЛУБ Вікто</w:t>
      </w:r>
      <w:r w:rsidR="003B3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р), КП «ККП» РМР» (ЩЕРБАК Ігор);</w:t>
      </w:r>
    </w:p>
    <w:p w:rsidR="0046634C" w:rsidRPr="00C43062" w:rsidRDefault="0046634C" w:rsidP="00EA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спрацювали із беззбитковим результатом: КП «Ромнитранссервіс» (КОТЛЯРОВ Анатолій);</w:t>
      </w:r>
    </w:p>
    <w:p w:rsidR="0046634C" w:rsidRPr="00C43062" w:rsidRDefault="0046634C" w:rsidP="00EA43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 виконали показники фінансового плану та отримали збиток: </w:t>
      </w:r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КП «</w:t>
      </w:r>
      <w:proofErr w:type="spellStart"/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Ромнитеплосервіс</w:t>
      </w:r>
      <w:proofErr w:type="spellEnd"/>
      <w:r w:rsidR="00057EED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РМР (БЕСЕДА Володимир)</w:t>
      </w:r>
      <w:r w:rsidR="00686CA6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6634C" w:rsidRPr="00C43062" w:rsidRDefault="0046634C" w:rsidP="0046634C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6634C" w:rsidRPr="00C43062" w:rsidRDefault="0046634C" w:rsidP="0046634C">
      <w:pPr>
        <w:tabs>
          <w:tab w:val="left" w:pos="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Пропозиції:</w:t>
      </w:r>
    </w:p>
    <w:p w:rsidR="0046634C" w:rsidRPr="00C43062" w:rsidRDefault="0046634C" w:rsidP="0046634C">
      <w:pPr>
        <w:shd w:val="clear" w:color="auto" w:fill="FEFEFE"/>
        <w:tabs>
          <w:tab w:val="left" w:pos="851"/>
        </w:tabs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 комунальних підприємств Роменської міської ради:</w:t>
      </w:r>
    </w:p>
    <w:p w:rsidR="0046634C" w:rsidRPr="00C43062" w:rsidRDefault="0046634C" w:rsidP="003B3478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посилити контроль за своєчасністю розрахунків за використані енергоносії, сплатою податків та інших обов`язкових платежів;</w:t>
      </w:r>
    </w:p>
    <w:p w:rsidR="0046634C" w:rsidRPr="00C43062" w:rsidRDefault="0046634C" w:rsidP="003B3478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активізувати роботу зі стягнення дебіторської заборгованості;</w:t>
      </w:r>
    </w:p>
    <w:p w:rsidR="0046634C" w:rsidRPr="00C43062" w:rsidRDefault="0046634C" w:rsidP="003B3478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вжити заходів щодо підвищення якості робіт та послуг</w:t>
      </w:r>
      <w:r w:rsidR="003B34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що надаються</w:t>
      </w: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6634C" w:rsidRPr="00C43062" w:rsidRDefault="0046634C" w:rsidP="003B3478">
      <w:pPr>
        <w:numPr>
          <w:ilvl w:val="0"/>
          <w:numId w:val="11"/>
        </w:numPr>
        <w:shd w:val="clear" w:color="auto" w:fill="FEFEFE"/>
        <w:tabs>
          <w:tab w:val="left" w:pos="851"/>
        </w:tabs>
        <w:spacing w:after="12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забезпечити жорстку економію фінансових ресурсів та недопущення необґрунтованих витрат.</w:t>
      </w:r>
    </w:p>
    <w:p w:rsidR="0046634C" w:rsidRPr="00C43062" w:rsidRDefault="00153A36" w:rsidP="0046634C">
      <w:pPr>
        <w:tabs>
          <w:tab w:val="left" w:pos="0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Пропонуємо зняти з контролю у зв’язку із закінченням терміну дії рішення виконавчого комітету міської ради від </w:t>
      </w:r>
      <w:r w:rsidR="0046634C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16.08.2023 № 125 «Про затвердження фінансових планів </w:t>
      </w:r>
      <w:r w:rsidR="0046634C" w:rsidRPr="00C430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підприємств, що належать до комунальної власності Роменської міської територіальної громади, на 2024 рік».</w:t>
      </w:r>
    </w:p>
    <w:p w:rsidR="0046634C" w:rsidRPr="00C43062" w:rsidRDefault="0046634C">
      <w:pPr>
        <w:rPr>
          <w:rFonts w:ascii="Calibri" w:eastAsia="Calibri" w:hAnsi="Calibri" w:cs="Times New Roman"/>
          <w:lang w:val="uk-UA"/>
        </w:rPr>
      </w:pPr>
    </w:p>
    <w:p w:rsidR="0046634C" w:rsidRPr="00C43062" w:rsidRDefault="0046634C" w:rsidP="0046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Головний спеціаліст </w:t>
      </w:r>
      <w:r w:rsidR="003B347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У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правління </w:t>
      </w:r>
    </w:p>
    <w:p w:rsidR="003B3478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 w:rsidR="003B347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</w:p>
    <w:p w:rsidR="0046634C" w:rsidRPr="00C43062" w:rsidRDefault="003B3478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Роменської міської ради</w:t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>Олександр ЖАБІНСЬКИЙ</w:t>
      </w: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3B3478" w:rsidRPr="00C43062" w:rsidRDefault="0046634C" w:rsidP="003B34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Начальник </w:t>
      </w:r>
      <w:r w:rsidR="003B3478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У</w:t>
      </w:r>
      <w:r w:rsidR="003B3478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правління </w:t>
      </w:r>
    </w:p>
    <w:p w:rsidR="003B3478" w:rsidRDefault="003B3478" w:rsidP="003B34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економічного розвитку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</w:t>
      </w:r>
    </w:p>
    <w:p w:rsidR="0046634C" w:rsidRPr="00C43062" w:rsidRDefault="003B3478" w:rsidP="003B347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Роменської міської ради</w:t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               </w:t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</w:t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="0046634C"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>Юлія ЯНЧУК</w:t>
      </w: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3B3478" w:rsidRDefault="003B3478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 xml:space="preserve">ПОГОДЖЕНО                                       </w:t>
      </w:r>
    </w:p>
    <w:p w:rsidR="0046634C" w:rsidRPr="00C43062" w:rsidRDefault="0046634C" w:rsidP="004663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Керуючий справами виконкому</w:t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</w:r>
      <w:r w:rsidRPr="00C43062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ab/>
        <w:t xml:space="preserve">   Наталія МОСКАЛЕНКО</w:t>
      </w:r>
    </w:p>
    <w:sectPr w:rsidR="0046634C" w:rsidRPr="00C43062" w:rsidSect="00D543F7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4BD9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8002CF"/>
    <w:multiLevelType w:val="hybridMultilevel"/>
    <w:tmpl w:val="A80086EE"/>
    <w:lvl w:ilvl="0" w:tplc="D798A5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6F08CA"/>
    <w:multiLevelType w:val="hybridMultilevel"/>
    <w:tmpl w:val="1A4A02A2"/>
    <w:lvl w:ilvl="0" w:tplc="543E5F5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4FE4"/>
    <w:multiLevelType w:val="hybridMultilevel"/>
    <w:tmpl w:val="EBE0921C"/>
    <w:lvl w:ilvl="0" w:tplc="59E889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FF0484"/>
    <w:multiLevelType w:val="hybridMultilevel"/>
    <w:tmpl w:val="91004B38"/>
    <w:lvl w:ilvl="0" w:tplc="234C9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0D353B"/>
    <w:multiLevelType w:val="hybridMultilevel"/>
    <w:tmpl w:val="890AC55A"/>
    <w:lvl w:ilvl="0" w:tplc="6F1E72A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77D54"/>
    <w:multiLevelType w:val="hybridMultilevel"/>
    <w:tmpl w:val="4F526BD2"/>
    <w:lvl w:ilvl="0" w:tplc="30C67C1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C"/>
    <w:rsid w:val="00001DF6"/>
    <w:rsid w:val="000153A0"/>
    <w:rsid w:val="00030784"/>
    <w:rsid w:val="00057EED"/>
    <w:rsid w:val="0009792F"/>
    <w:rsid w:val="000A2FFB"/>
    <w:rsid w:val="000D55B2"/>
    <w:rsid w:val="000E50E2"/>
    <w:rsid w:val="00115E6A"/>
    <w:rsid w:val="00153A36"/>
    <w:rsid w:val="001717DA"/>
    <w:rsid w:val="00180305"/>
    <w:rsid w:val="00181E77"/>
    <w:rsid w:val="001919DC"/>
    <w:rsid w:val="001B530C"/>
    <w:rsid w:val="001C25AF"/>
    <w:rsid w:val="001C6BBD"/>
    <w:rsid w:val="001D0972"/>
    <w:rsid w:val="001E4503"/>
    <w:rsid w:val="001E7713"/>
    <w:rsid w:val="00224C36"/>
    <w:rsid w:val="00247945"/>
    <w:rsid w:val="00264B22"/>
    <w:rsid w:val="002922AD"/>
    <w:rsid w:val="002B151C"/>
    <w:rsid w:val="002D3695"/>
    <w:rsid w:val="00313139"/>
    <w:rsid w:val="0039038D"/>
    <w:rsid w:val="00394DC9"/>
    <w:rsid w:val="003B3478"/>
    <w:rsid w:val="003C3D5B"/>
    <w:rsid w:val="003D75E0"/>
    <w:rsid w:val="003E4887"/>
    <w:rsid w:val="003E5AD4"/>
    <w:rsid w:val="00436D07"/>
    <w:rsid w:val="0044605B"/>
    <w:rsid w:val="00455396"/>
    <w:rsid w:val="00456D35"/>
    <w:rsid w:val="0046634C"/>
    <w:rsid w:val="00480397"/>
    <w:rsid w:val="00497A01"/>
    <w:rsid w:val="004C2A82"/>
    <w:rsid w:val="004D7F85"/>
    <w:rsid w:val="004E2024"/>
    <w:rsid w:val="004F73CE"/>
    <w:rsid w:val="005A18AE"/>
    <w:rsid w:val="005F15C4"/>
    <w:rsid w:val="00627B70"/>
    <w:rsid w:val="00635E9E"/>
    <w:rsid w:val="00647CE6"/>
    <w:rsid w:val="00677874"/>
    <w:rsid w:val="00686CA6"/>
    <w:rsid w:val="006A17C4"/>
    <w:rsid w:val="006A5B12"/>
    <w:rsid w:val="006B10DD"/>
    <w:rsid w:val="006B31D9"/>
    <w:rsid w:val="006C4976"/>
    <w:rsid w:val="006F0E74"/>
    <w:rsid w:val="007014DF"/>
    <w:rsid w:val="00710971"/>
    <w:rsid w:val="00734610"/>
    <w:rsid w:val="00736327"/>
    <w:rsid w:val="007373BD"/>
    <w:rsid w:val="00764272"/>
    <w:rsid w:val="0076752E"/>
    <w:rsid w:val="007676A7"/>
    <w:rsid w:val="00785DAA"/>
    <w:rsid w:val="007940B2"/>
    <w:rsid w:val="007A6527"/>
    <w:rsid w:val="007A7EF8"/>
    <w:rsid w:val="007B6E81"/>
    <w:rsid w:val="007C0D53"/>
    <w:rsid w:val="00812160"/>
    <w:rsid w:val="00871E7A"/>
    <w:rsid w:val="008851B6"/>
    <w:rsid w:val="00895648"/>
    <w:rsid w:val="008D3F72"/>
    <w:rsid w:val="008E0F9A"/>
    <w:rsid w:val="00915697"/>
    <w:rsid w:val="00974359"/>
    <w:rsid w:val="009771F8"/>
    <w:rsid w:val="009B1507"/>
    <w:rsid w:val="00A137D8"/>
    <w:rsid w:val="00A3622A"/>
    <w:rsid w:val="00A4795E"/>
    <w:rsid w:val="00A56C9C"/>
    <w:rsid w:val="00A62A6B"/>
    <w:rsid w:val="00A77F17"/>
    <w:rsid w:val="00A876B5"/>
    <w:rsid w:val="00AB2A10"/>
    <w:rsid w:val="00AC55D7"/>
    <w:rsid w:val="00AC66EF"/>
    <w:rsid w:val="00AC76DF"/>
    <w:rsid w:val="00AE4720"/>
    <w:rsid w:val="00AF5BF8"/>
    <w:rsid w:val="00B1135B"/>
    <w:rsid w:val="00B237C5"/>
    <w:rsid w:val="00BB2EBC"/>
    <w:rsid w:val="00BC26BF"/>
    <w:rsid w:val="00BD2959"/>
    <w:rsid w:val="00BF0AF8"/>
    <w:rsid w:val="00BF7FC2"/>
    <w:rsid w:val="00C22244"/>
    <w:rsid w:val="00C34D66"/>
    <w:rsid w:val="00C354A1"/>
    <w:rsid w:val="00C363E2"/>
    <w:rsid w:val="00C43062"/>
    <w:rsid w:val="00C47017"/>
    <w:rsid w:val="00C77081"/>
    <w:rsid w:val="00CB17D3"/>
    <w:rsid w:val="00CC600D"/>
    <w:rsid w:val="00D11041"/>
    <w:rsid w:val="00D543F7"/>
    <w:rsid w:val="00D653F4"/>
    <w:rsid w:val="00DC54A6"/>
    <w:rsid w:val="00DD5569"/>
    <w:rsid w:val="00E14569"/>
    <w:rsid w:val="00E371D3"/>
    <w:rsid w:val="00E65BDF"/>
    <w:rsid w:val="00E81587"/>
    <w:rsid w:val="00E87944"/>
    <w:rsid w:val="00E947F2"/>
    <w:rsid w:val="00EA43E9"/>
    <w:rsid w:val="00EC33FF"/>
    <w:rsid w:val="00EF7DAC"/>
    <w:rsid w:val="00F00F70"/>
    <w:rsid w:val="00F32B6A"/>
    <w:rsid w:val="00F32DF1"/>
    <w:rsid w:val="00FA25D1"/>
    <w:rsid w:val="00FA5AC3"/>
    <w:rsid w:val="00FC780E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598"/>
  <w15:chartTrackingRefBased/>
  <w15:docId w15:val="{06CB0DC5-533A-4370-AE2C-7ADDF302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4C"/>
    <w:rPr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663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634C"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numbering" w:customStyle="1" w:styleId="1">
    <w:name w:val="Нет списка1"/>
    <w:next w:val="a2"/>
    <w:uiPriority w:val="99"/>
    <w:semiHidden/>
    <w:unhideWhenUsed/>
    <w:rsid w:val="0046634C"/>
  </w:style>
  <w:style w:type="paragraph" w:styleId="a3">
    <w:name w:val="Body Text"/>
    <w:aliases w:val="Основной текст Знак Знак Знак"/>
    <w:basedOn w:val="a"/>
    <w:link w:val="a4"/>
    <w:rsid w:val="004663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46634C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a5">
    <w:name w:val="List Paragraph"/>
    <w:basedOn w:val="a"/>
    <w:uiPriority w:val="34"/>
    <w:qFormat/>
    <w:rsid w:val="0046634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663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6634C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4663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46634C"/>
    <w:rPr>
      <w:rFonts w:ascii="Tahoma" w:eastAsia="Times New Roman" w:hAnsi="Tahoma" w:cs="Times New Roman"/>
      <w:sz w:val="16"/>
      <w:szCs w:val="16"/>
      <w:lang w:val="uk-UA"/>
    </w:rPr>
  </w:style>
  <w:style w:type="paragraph" w:styleId="31">
    <w:name w:val="Body Text 3"/>
    <w:basedOn w:val="a"/>
    <w:link w:val="32"/>
    <w:uiPriority w:val="99"/>
    <w:unhideWhenUsed/>
    <w:rsid w:val="00466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6634C"/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paragraph" w:customStyle="1" w:styleId="10">
    <w:name w:val="Обычный1"/>
    <w:rsid w:val="00466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ntStyle12">
    <w:name w:val="Font Style12"/>
    <w:uiPriority w:val="99"/>
    <w:rsid w:val="0046634C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466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6634C"/>
  </w:style>
  <w:style w:type="paragraph" w:styleId="ab">
    <w:name w:val="Normal (Web)"/>
    <w:basedOn w:val="a"/>
    <w:uiPriority w:val="99"/>
    <w:rsid w:val="0046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46634C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ad">
    <w:name w:val="обычный"/>
    <w:basedOn w:val="a"/>
    <w:rsid w:val="004663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e">
    <w:name w:val="Placeholder Text"/>
    <w:basedOn w:val="a0"/>
    <w:uiPriority w:val="99"/>
    <w:semiHidden/>
    <w:rsid w:val="00F00F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Наталiя</cp:lastModifiedBy>
  <cp:revision>3</cp:revision>
  <cp:lastPrinted>2025-03-04T08:58:00Z</cp:lastPrinted>
  <dcterms:created xsi:type="dcterms:W3CDTF">2025-03-10T14:39:00Z</dcterms:created>
  <dcterms:modified xsi:type="dcterms:W3CDTF">2025-03-18T13:19:00Z</dcterms:modified>
</cp:coreProperties>
</file>