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946C67" w:rsidRPr="00946C67" w:rsidRDefault="00946C67" w:rsidP="00946C67">
      <w:pPr>
        <w:pBdr>
          <w:top w:val="nil"/>
          <w:left w:val="nil"/>
          <w:bottom w:val="nil"/>
          <w:right w:val="nil"/>
          <w:between w:val="nil"/>
        </w:pBdr>
        <w:spacing w:after="120"/>
        <w:ind w:left="-2" w:right="4111" w:firstLineChars="0" w:firstLine="0"/>
        <w:jc w:val="both"/>
        <w:rPr>
          <w:rFonts w:ascii="Times New Roman" w:eastAsia="Times New Roman" w:hAnsi="Times New Roman" w:cs="Times New Roman"/>
          <w:b/>
          <w:color w:val="000000"/>
          <w:sz w:val="24"/>
          <w:szCs w:val="24"/>
        </w:rPr>
      </w:pPr>
      <w:r w:rsidRPr="00946C67">
        <w:rPr>
          <w:rFonts w:ascii="Times New Roman" w:eastAsia="Times New Roman" w:hAnsi="Times New Roman" w:cs="Times New Roman"/>
          <w:b/>
          <w:color w:val="000000"/>
          <w:sz w:val="24"/>
          <w:szCs w:val="24"/>
        </w:rPr>
        <w:t xml:space="preserve">Про затвердження Програми фінансової підтримки </w:t>
      </w:r>
      <w:r w:rsidRPr="00946C67">
        <w:rPr>
          <w:rFonts w:ascii="Times New Roman" w:eastAsia="Times New Roman" w:hAnsi="Times New Roman" w:cs="Times New Roman"/>
          <w:b/>
          <w:color w:val="000000"/>
          <w:sz w:val="24"/>
          <w:szCs w:val="24"/>
          <w:lang w:val="uk-UA"/>
        </w:rPr>
        <w:t>К</w:t>
      </w:r>
      <w:r w:rsidRPr="00946C67">
        <w:rPr>
          <w:rFonts w:ascii="Times New Roman" w:eastAsia="Times New Roman" w:hAnsi="Times New Roman" w:cs="Times New Roman"/>
          <w:b/>
          <w:color w:val="000000"/>
          <w:sz w:val="24"/>
          <w:szCs w:val="24"/>
        </w:rPr>
        <w:t>омунального підприємства «</w:t>
      </w:r>
      <w:r w:rsidRPr="00946C67">
        <w:rPr>
          <w:rFonts w:ascii="Times New Roman" w:eastAsia="Times New Roman" w:hAnsi="Times New Roman" w:cs="Times New Roman"/>
          <w:b/>
          <w:color w:val="000000"/>
          <w:sz w:val="24"/>
          <w:szCs w:val="24"/>
          <w:lang w:val="uk-UA"/>
        </w:rPr>
        <w:t>Житло-Експлуатація»</w:t>
      </w:r>
      <w:r w:rsidRPr="00946C67">
        <w:rPr>
          <w:rFonts w:ascii="Times New Roman" w:eastAsia="Times New Roman" w:hAnsi="Times New Roman" w:cs="Times New Roman"/>
          <w:b/>
          <w:color w:val="000000"/>
          <w:sz w:val="24"/>
          <w:szCs w:val="24"/>
        </w:rPr>
        <w:t xml:space="preserve"> Роменської міської ради</w:t>
      </w:r>
      <w:r w:rsidRPr="00946C67">
        <w:rPr>
          <w:rFonts w:ascii="Times New Roman" w:eastAsia="Times New Roman" w:hAnsi="Times New Roman" w:cs="Times New Roman"/>
          <w:b/>
          <w:color w:val="000000"/>
          <w:sz w:val="24"/>
          <w:szCs w:val="24"/>
          <w:lang w:val="uk-UA"/>
        </w:rPr>
        <w:t>»</w:t>
      </w:r>
      <w:r w:rsidRPr="00946C67">
        <w:rPr>
          <w:rFonts w:ascii="Times New Roman" w:eastAsia="Times New Roman" w:hAnsi="Times New Roman" w:cs="Times New Roman"/>
          <w:b/>
          <w:color w:val="000000"/>
          <w:sz w:val="24"/>
          <w:szCs w:val="24"/>
        </w:rPr>
        <w:t xml:space="preserve"> на 202</w:t>
      </w:r>
      <w:r w:rsidRPr="00946C67">
        <w:rPr>
          <w:rFonts w:ascii="Times New Roman" w:eastAsia="Times New Roman" w:hAnsi="Times New Roman" w:cs="Times New Roman"/>
          <w:b/>
          <w:color w:val="000000"/>
          <w:sz w:val="24"/>
          <w:szCs w:val="24"/>
          <w:lang w:val="uk-UA"/>
        </w:rPr>
        <w:t>5</w:t>
      </w:r>
      <w:r w:rsidRPr="00946C67">
        <w:rPr>
          <w:rFonts w:ascii="Times New Roman" w:eastAsia="Times New Roman" w:hAnsi="Times New Roman" w:cs="Times New Roman"/>
          <w:b/>
          <w:color w:val="000000"/>
          <w:sz w:val="24"/>
          <w:szCs w:val="24"/>
        </w:rPr>
        <w:t xml:space="preserve"> рік</w:t>
      </w:r>
    </w:p>
    <w:p w:rsidR="00946C67" w:rsidRPr="00946C67" w:rsidRDefault="00946C67" w:rsidP="00946C6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946C67">
        <w:rPr>
          <w:rFonts w:ascii="Times New Roman" w:eastAsia="Times New Roman" w:hAnsi="Times New Roman" w:cs="Times New Roman"/>
          <w:position w:val="0"/>
          <w:sz w:val="24"/>
          <w:szCs w:val="24"/>
          <w:lang w:val="uk-UA"/>
        </w:rPr>
        <w:t>5</w:t>
      </w:r>
      <w:r w:rsidRPr="00946C67">
        <w:rPr>
          <w:rFonts w:ascii="Times New Roman" w:eastAsia="Times New Roman" w:hAnsi="Times New Roman" w:cs="Times New Roman"/>
          <w:position w:val="0"/>
          <w:sz w:val="24"/>
          <w:szCs w:val="24"/>
          <w:vertAlign w:val="superscript"/>
          <w:lang w:val="uk-UA"/>
        </w:rPr>
        <w:t>2</w:t>
      </w:r>
      <w:r w:rsidRPr="00946C67">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w:t>
      </w:r>
      <w:r w:rsidRPr="00946C67">
        <w:rPr>
          <w:rFonts w:ascii="Times New Roman" w:eastAsia="Times New Roman" w:hAnsi="Times New Roman" w:cs="Times New Roman"/>
          <w:bCs/>
          <w:position w:val="0"/>
          <w:sz w:val="24"/>
          <w:szCs w:val="24"/>
          <w:lang w:val="uk-UA" w:eastAsia="en-US"/>
        </w:rPr>
        <w:t xml:space="preserve">враховуючи лист директора комунального підприємства    «Житло-Експлуатація» Роменської міської ради від  06.01.2025 № 3, протоколу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946C67" w:rsidRPr="00946C67" w:rsidRDefault="00946C67" w:rsidP="00946C67">
      <w:pPr>
        <w:pBdr>
          <w:top w:val="nil"/>
          <w:left w:val="nil"/>
          <w:bottom w:val="nil"/>
          <w:right w:val="nil"/>
          <w:between w:val="nil"/>
        </w:pBdr>
        <w:spacing w:before="120" w:after="120" w:line="240" w:lineRule="auto"/>
        <w:ind w:leftChars="0" w:left="0" w:firstLineChars="0" w:firstLine="0"/>
        <w:jc w:val="both"/>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color w:val="000000"/>
          <w:sz w:val="24"/>
          <w:szCs w:val="24"/>
          <w:lang w:val="uk-UA"/>
        </w:rPr>
        <w:t>МІСЬКА РАДА ВИРІШИЛА:</w:t>
      </w:r>
    </w:p>
    <w:p w:rsidR="00946C67" w:rsidRPr="00946C67" w:rsidRDefault="00946C67" w:rsidP="00946C67">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«Житло-Експлуатація» Роменської міської ради» на 2025 рік (додається).</w:t>
      </w:r>
    </w:p>
    <w:p w:rsidR="00946C67" w:rsidRPr="00946C67" w:rsidRDefault="00946C67" w:rsidP="00946C67">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color w:val="000000"/>
          <w:position w:val="0"/>
          <w:sz w:val="24"/>
          <w:szCs w:val="24"/>
          <w:lang w:val="uk-UA"/>
        </w:rPr>
        <w:t>2. Передбачити кошти на фінансування заходів Програм</w:t>
      </w:r>
      <w:r w:rsidRPr="00946C67">
        <w:rPr>
          <w:rFonts w:ascii="Times New Roman" w:eastAsia="Times New Roman" w:hAnsi="Times New Roman" w:cs="Times New Roman"/>
          <w:position w:val="0"/>
          <w:sz w:val="24"/>
          <w:szCs w:val="24"/>
          <w:lang w:val="uk-UA"/>
        </w:rPr>
        <w:t>и</w:t>
      </w:r>
      <w:r w:rsidRPr="00946C67">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«Житло-Експлуатація» Роменської міської ради» на 2025 рік в межах кошторисних призначень бюджету Роменської міської територіальної громади.</w:t>
      </w:r>
    </w:p>
    <w:p w:rsidR="00946C67" w:rsidRPr="00946C67" w:rsidRDefault="00946C67" w:rsidP="00946C67">
      <w:pPr>
        <w:pBdr>
          <w:top w:val="nil"/>
          <w:left w:val="nil"/>
          <w:bottom w:val="nil"/>
          <w:right w:val="nil"/>
          <w:between w:val="nil"/>
        </w:pBdr>
        <w:suppressAutoHyphens w:val="0"/>
        <w:spacing w:after="120"/>
        <w:ind w:leftChars="0" w:left="0" w:firstLineChars="0" w:firstLine="425"/>
        <w:jc w:val="both"/>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color w:val="000000"/>
          <w:position w:val="0"/>
          <w:sz w:val="24"/>
          <w:szCs w:val="24"/>
          <w:lang w:val="uk-UA"/>
        </w:rPr>
        <w:t>3. Контроль за виконанням цього рішення покласти на постійну комісію з питань бюджету, економічного розвитку, комунальної власності міста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946C67" w:rsidRDefault="00946C67"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005B43" w:rsidRDefault="00005B43"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ПРОГРАМА </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фінансової підтримк</w:t>
      </w:r>
      <w:r w:rsidRPr="00946C67">
        <w:rPr>
          <w:rFonts w:ascii="Times New Roman" w:eastAsia="Times New Roman" w:hAnsi="Times New Roman" w:cs="Times New Roman"/>
          <w:b/>
          <w:position w:val="0"/>
          <w:sz w:val="24"/>
          <w:szCs w:val="24"/>
          <w:lang w:val="uk-UA"/>
        </w:rPr>
        <w:t>и</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Комунального підприємства «Житло-Експлуатація» Роменської міської ради» </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 xml:space="preserve">на 2025 </w:t>
      </w:r>
      <w:r w:rsidRPr="00946C67">
        <w:rPr>
          <w:rFonts w:ascii="Times New Roman" w:eastAsia="Times New Roman" w:hAnsi="Times New Roman" w:cs="Times New Roman"/>
          <w:b/>
          <w:position w:val="0"/>
          <w:sz w:val="24"/>
          <w:szCs w:val="24"/>
          <w:lang w:val="uk-UA"/>
        </w:rPr>
        <w:t>рік</w:t>
      </w:r>
    </w:p>
    <w:p w:rsidR="00946C67" w:rsidRPr="00946C67" w:rsidRDefault="00946C67" w:rsidP="00946C67">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946C67" w:rsidRPr="00946C67" w:rsidRDefault="00946C67" w:rsidP="00946C67">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І.ПАСПОРТ</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«Житло-Експлуатація» Роменської міської ради»</w:t>
      </w:r>
    </w:p>
    <w:p w:rsidR="00946C67" w:rsidRPr="00946C67" w:rsidRDefault="00946C67" w:rsidP="00946C67">
      <w:pPr>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sidRPr="00946C67">
        <w:rPr>
          <w:rFonts w:ascii="Times New Roman" w:eastAsia="Times New Roman" w:hAnsi="Times New Roman" w:cs="Times New Roman"/>
          <w:b/>
          <w:color w:val="000000"/>
          <w:position w:val="0"/>
          <w:sz w:val="24"/>
          <w:szCs w:val="24"/>
          <w:lang w:val="uk-UA"/>
        </w:rPr>
        <w:t>на  202</w:t>
      </w:r>
      <w:r w:rsidRPr="00946C67">
        <w:rPr>
          <w:rFonts w:ascii="Times New Roman" w:eastAsia="Times New Roman" w:hAnsi="Times New Roman" w:cs="Times New Roman"/>
          <w:b/>
          <w:position w:val="0"/>
          <w:sz w:val="24"/>
          <w:szCs w:val="24"/>
          <w:lang w:val="uk-UA"/>
        </w:rPr>
        <w:t>5</w:t>
      </w:r>
      <w:r w:rsidRPr="00946C67">
        <w:rPr>
          <w:rFonts w:ascii="Times New Roman" w:eastAsia="Times New Roman" w:hAnsi="Times New Roman" w:cs="Times New Roman"/>
          <w:b/>
          <w:color w:val="000000"/>
          <w:position w:val="0"/>
          <w:sz w:val="24"/>
          <w:szCs w:val="24"/>
          <w:lang w:val="uk-UA"/>
        </w:rPr>
        <w:t xml:space="preserve"> р</w:t>
      </w:r>
      <w:r w:rsidRPr="00946C67">
        <w:rPr>
          <w:rFonts w:ascii="Times New Roman" w:eastAsia="Times New Roman" w:hAnsi="Times New Roman" w:cs="Times New Roman"/>
          <w:b/>
          <w:position w:val="0"/>
          <w:sz w:val="24"/>
          <w:szCs w:val="24"/>
          <w:lang w:val="uk-UA"/>
        </w:rPr>
        <w:t>і</w:t>
      </w:r>
      <w:r w:rsidRPr="00946C67">
        <w:rPr>
          <w:rFonts w:ascii="Times New Roman" w:eastAsia="Times New Roman" w:hAnsi="Times New Roman" w:cs="Times New Roman"/>
          <w:b/>
          <w:color w:val="000000"/>
          <w:position w:val="0"/>
          <w:sz w:val="24"/>
          <w:szCs w:val="24"/>
          <w:lang w:val="uk-UA"/>
        </w:rPr>
        <w:t>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з/п</w:t>
            </w:r>
          </w:p>
        </w:tc>
        <w:tc>
          <w:tcPr>
            <w:tcW w:w="3343"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Параметри</w:t>
            </w:r>
          </w:p>
        </w:tc>
        <w:tc>
          <w:tcPr>
            <w:tcW w:w="5411" w:type="dxa"/>
          </w:tcPr>
          <w:p w:rsidR="00946C67" w:rsidRPr="00DD0F88" w:rsidRDefault="00946C67" w:rsidP="00946C67">
            <w:pPr>
              <w:tabs>
                <w:tab w:val="left" w:pos="1080"/>
                <w:tab w:val="left" w:pos="3600"/>
              </w:tabs>
              <w:spacing w:after="0" w:line="240" w:lineRule="auto"/>
              <w:ind w:left="0" w:hanging="2"/>
              <w:jc w:val="center"/>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Зміст</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1.</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Ініціатор розроблення Програми </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Роменська міська рада</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2.</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Підстави для розроблення програми</w:t>
            </w:r>
          </w:p>
        </w:tc>
        <w:tc>
          <w:tcPr>
            <w:tcW w:w="5411" w:type="dxa"/>
          </w:tcPr>
          <w:p w:rsidR="00946C67" w:rsidRPr="00DD0F88" w:rsidRDefault="00946C67" w:rsidP="00946C67">
            <w:pPr>
              <w:keepNext/>
              <w:spacing w:after="0" w:line="240" w:lineRule="auto"/>
              <w:ind w:left="0" w:hanging="2"/>
              <w:jc w:val="both"/>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Закон України «Про місцеве самоврядування в Україні», Закон України «Про житлово-комунальні послуги»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3.</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Розробник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 xml:space="preserve">4. </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Відповідальний виконавець</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Управління житлово-комунального господарства  Роменської міської ради,</w:t>
            </w:r>
          </w:p>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color w:val="000000"/>
                <w:sz w:val="24"/>
                <w:szCs w:val="24"/>
              </w:rPr>
              <w:t>Комунальне підприємство «</w:t>
            </w:r>
            <w:r w:rsidRPr="00DD0F88">
              <w:rPr>
                <w:rFonts w:ascii="Times New Roman" w:eastAsia="Times New Roman" w:hAnsi="Times New Roman" w:cs="Times New Roman"/>
                <w:color w:val="000000"/>
                <w:sz w:val="24"/>
                <w:szCs w:val="24"/>
                <w:lang w:val="uk-UA"/>
              </w:rPr>
              <w:t>Житло-Експлуатація</w:t>
            </w:r>
            <w:r w:rsidRPr="00DD0F88">
              <w:rPr>
                <w:rFonts w:ascii="Times New Roman" w:eastAsia="Times New Roman" w:hAnsi="Times New Roman" w:cs="Times New Roman"/>
                <w:color w:val="000000"/>
                <w:sz w:val="24"/>
                <w:szCs w:val="24"/>
              </w:rPr>
              <w:t>» Роменської міської ради»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5.</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Термін реалізації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DD0F88">
              <w:rPr>
                <w:rFonts w:ascii="Times New Roman" w:eastAsia="Times New Roman" w:hAnsi="Times New Roman" w:cs="Times New Roman"/>
                <w:sz w:val="24"/>
                <w:szCs w:val="24"/>
                <w:lang w:val="uk-UA"/>
              </w:rPr>
              <w:t xml:space="preserve"> рік</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6.</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Перелік місцевих бюджетів, які беруть участь у виконанні Програми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Бюджет Роменської міської територіальної громади</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w:t>
            </w:r>
          </w:p>
        </w:tc>
        <w:tc>
          <w:tcPr>
            <w:tcW w:w="3343" w:type="dxa"/>
          </w:tcPr>
          <w:p w:rsidR="00946C67" w:rsidRPr="00DD0F88" w:rsidRDefault="00946C67" w:rsidP="00946C67">
            <w:pPr>
              <w:spacing w:after="0" w:line="240" w:lineRule="auto"/>
              <w:ind w:left="0" w:hanging="2"/>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 xml:space="preserve">Загальний обсяг фінансових ресурсів, необхідних для реалізації Програми, всього, у </w:t>
            </w:r>
            <w:r w:rsidRPr="00DD0F88">
              <w:rPr>
                <w:rFonts w:ascii="Times New Roman" w:eastAsia="Times New Roman" w:hAnsi="Times New Roman" w:cs="Times New Roman"/>
                <w:spacing w:val="-6"/>
                <w:sz w:val="24"/>
                <w:szCs w:val="24"/>
                <w:lang w:val="uk-UA" w:eastAsia="en-US"/>
              </w:rPr>
              <w:t>тому числі:</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p>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DD0F88">
              <w:rPr>
                <w:rFonts w:ascii="Times New Roman" w:eastAsia="Times New Roman" w:hAnsi="Times New Roman" w:cs="Times New Roman"/>
                <w:sz w:val="24"/>
                <w:szCs w:val="24"/>
                <w:lang w:val="uk-UA"/>
              </w:rPr>
              <w:t>00,000</w:t>
            </w:r>
            <w:r w:rsidRPr="00DD0F88">
              <w:rPr>
                <w:rFonts w:ascii="Times New Roman" w:eastAsia="Times New Roman" w:hAnsi="Times New Roman" w:cs="Times New Roman"/>
                <w:i/>
                <w:iCs/>
                <w:sz w:val="24"/>
                <w:szCs w:val="24"/>
                <w:lang w:val="uk-UA"/>
              </w:rPr>
              <w:t xml:space="preserve"> </w:t>
            </w:r>
            <w:r w:rsidRPr="00DD0F88">
              <w:rPr>
                <w:rFonts w:ascii="Times New Roman" w:eastAsia="Times New Roman" w:hAnsi="Times New Roman" w:cs="Times New Roman"/>
                <w:sz w:val="24"/>
                <w:szCs w:val="24"/>
                <w:lang w:val="uk-UA"/>
              </w:rPr>
              <w:t>тиc. грн</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7.1.</w:t>
            </w:r>
          </w:p>
        </w:tc>
        <w:tc>
          <w:tcPr>
            <w:tcW w:w="3343" w:type="dxa"/>
          </w:tcPr>
          <w:p w:rsidR="00946C67" w:rsidRPr="00DD0F88" w:rsidRDefault="00946C67" w:rsidP="00946C67">
            <w:pPr>
              <w:spacing w:after="0" w:line="240" w:lineRule="auto"/>
              <w:ind w:left="0" w:hanging="2"/>
              <w:rPr>
                <w:rFonts w:ascii="Times New Roman" w:eastAsia="Times New Roman" w:hAnsi="Times New Roman" w:cs="Times New Roman"/>
                <w:sz w:val="24"/>
                <w:szCs w:val="24"/>
                <w:lang w:val="uk-UA" w:eastAsia="en-US"/>
              </w:rPr>
            </w:pPr>
            <w:r w:rsidRPr="00DD0F88">
              <w:rPr>
                <w:rFonts w:ascii="Times New Roman" w:eastAsia="Times New Roman" w:hAnsi="Times New Roman" w:cs="Times New Roman"/>
                <w:sz w:val="24"/>
                <w:szCs w:val="24"/>
                <w:lang w:val="uk-UA" w:eastAsia="en-US"/>
              </w:rPr>
              <w:t>коштів бюджету Роменської міської територіальної громади</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Pr="00DD0F88">
              <w:rPr>
                <w:rFonts w:ascii="Times New Roman" w:eastAsia="Times New Roman" w:hAnsi="Times New Roman" w:cs="Times New Roman"/>
                <w:sz w:val="24"/>
                <w:szCs w:val="24"/>
                <w:lang w:val="uk-UA"/>
              </w:rPr>
              <w:t>00,000</w:t>
            </w:r>
            <w:r w:rsidRPr="00DD0F88">
              <w:rPr>
                <w:rFonts w:ascii="Times New Roman" w:eastAsia="Times New Roman" w:hAnsi="Times New Roman" w:cs="Times New Roman"/>
                <w:sz w:val="24"/>
                <w:szCs w:val="24"/>
                <w:lang w:val="en-US"/>
              </w:rPr>
              <w:t xml:space="preserve"> </w:t>
            </w:r>
            <w:r w:rsidRPr="00DD0F88">
              <w:rPr>
                <w:rFonts w:ascii="Times New Roman" w:eastAsia="Times New Roman" w:hAnsi="Times New Roman" w:cs="Times New Roman"/>
                <w:sz w:val="24"/>
                <w:szCs w:val="24"/>
                <w:lang w:val="uk-UA"/>
              </w:rPr>
              <w:t>тис. грн</w:t>
            </w:r>
          </w:p>
        </w:tc>
      </w:tr>
      <w:tr w:rsidR="00946C67" w:rsidRPr="004737ED" w:rsidTr="0010355C">
        <w:tc>
          <w:tcPr>
            <w:tcW w:w="816"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7.2.</w:t>
            </w:r>
          </w:p>
        </w:tc>
        <w:tc>
          <w:tcPr>
            <w:tcW w:w="3343"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коштів інших бюджетів</w:t>
            </w:r>
          </w:p>
        </w:tc>
        <w:tc>
          <w:tcPr>
            <w:tcW w:w="5411" w:type="dxa"/>
          </w:tcPr>
          <w:p w:rsidR="00946C67" w:rsidRPr="00DD0F88" w:rsidRDefault="00946C67" w:rsidP="00946C67">
            <w:pPr>
              <w:tabs>
                <w:tab w:val="left" w:pos="1080"/>
                <w:tab w:val="left" w:pos="3600"/>
              </w:tabs>
              <w:spacing w:after="0" w:line="240" w:lineRule="auto"/>
              <w:ind w:left="0" w:hanging="2"/>
              <w:rPr>
                <w:rFonts w:ascii="Times New Roman" w:eastAsia="Times New Roman" w:hAnsi="Times New Roman" w:cs="Times New Roman"/>
                <w:sz w:val="24"/>
                <w:szCs w:val="24"/>
                <w:lang w:val="uk-UA"/>
              </w:rPr>
            </w:pPr>
            <w:r w:rsidRPr="00DD0F88">
              <w:rPr>
                <w:rFonts w:ascii="Times New Roman" w:eastAsia="Times New Roman" w:hAnsi="Times New Roman" w:cs="Times New Roman"/>
                <w:sz w:val="24"/>
                <w:szCs w:val="24"/>
                <w:lang w:val="uk-UA"/>
              </w:rPr>
              <w:t>0,000тис. грн</w:t>
            </w:r>
          </w:p>
        </w:tc>
      </w:tr>
    </w:tbl>
    <w:p w:rsidR="004737ED" w:rsidRP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b/>
          <w:color w:val="000000"/>
          <w:sz w:val="24"/>
          <w:szCs w:val="24"/>
        </w:rPr>
        <w:t>ІІ. Загальні положення</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Комунальне підприємство «Житло-Експлуатація» Роменської міської ради» надає послуги  з комплексного обслуговування об’єктів  мешканцям Роменської територіальної громади  за тарифами, які були введені в дію 01.08.2018 року рішенням виконкому Роменської міської ради  </w:t>
      </w:r>
      <w:r w:rsidRPr="00946C67">
        <w:rPr>
          <w:rFonts w:ascii="Times New Roman" w:eastAsia="Times New Roman" w:hAnsi="Times New Roman" w:cs="Times New Roman"/>
          <w:position w:val="0"/>
          <w:sz w:val="24"/>
          <w:szCs w:val="24"/>
          <w:lang w:eastAsia="en-US"/>
        </w:rPr>
        <w:t>№66 від 08.06.18р.</w:t>
      </w:r>
      <w:r w:rsidRPr="00946C67">
        <w:rPr>
          <w:rFonts w:ascii="Times New Roman" w:eastAsia="Times New Roman" w:hAnsi="Times New Roman" w:cs="Times New Roman"/>
          <w:position w:val="0"/>
          <w:sz w:val="24"/>
          <w:szCs w:val="24"/>
          <w:lang w:val="uk-UA" w:eastAsia="en-US"/>
        </w:rPr>
        <w:t xml:space="preserve"> </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Діючі тарифи на послуги не повністю забезпечують відшкодування витрат на їх надання,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Вищенаведені чинники призвели до зменшення у підприємства власних обігових коштів для забезпечення належного рівня надання послуги з обслуговування житлових будинків.</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lastRenderedPageBreak/>
        <w:t xml:space="preserve">Програма фінансової підтримки   Комунального підприємства «Житло-Експлуатація» Роменської міської ради» на 2025 рік (надалі Програма) розроблена відповідно до ст. 91 Бюджетного кодексу України, Закону України «Про житлово-комунальні послуги», Господарського кодексу України для забезпечення виконання завдань, передбачених в установчих документах, з метою залучення додаткового фінансування, яке сприятиме зміцненню матеріально-технічної бази підприємства та забезпеченню повного і своєчасного проведення </w:t>
      </w:r>
      <w:r w:rsidR="001F09DE">
        <w:rPr>
          <w:rFonts w:ascii="Times New Roman" w:eastAsia="Times New Roman" w:hAnsi="Times New Roman" w:cs="Times New Roman"/>
          <w:position w:val="0"/>
          <w:sz w:val="24"/>
          <w:szCs w:val="24"/>
          <w:lang w:val="uk-UA" w:eastAsia="en-US"/>
        </w:rPr>
        <w:t>розрахунків з бюджетом</w:t>
      </w:r>
      <w:r w:rsidRPr="00946C67">
        <w:rPr>
          <w:rFonts w:ascii="Times New Roman" w:eastAsia="Times New Roman" w:hAnsi="Times New Roman" w:cs="Times New Roman"/>
          <w:position w:val="0"/>
          <w:sz w:val="24"/>
          <w:szCs w:val="24"/>
          <w:lang w:val="uk-UA" w:eastAsia="en-US"/>
        </w:rPr>
        <w:t>.</w:t>
      </w:r>
    </w:p>
    <w:p w:rsidR="00946C67" w:rsidRPr="00946C67" w:rsidRDefault="00946C67" w:rsidP="00946C67">
      <w:pPr>
        <w:pBdr>
          <w:top w:val="nil"/>
          <w:left w:val="nil"/>
          <w:bottom w:val="nil"/>
          <w:right w:val="nil"/>
          <w:between w:val="nil"/>
        </w:pBdr>
        <w:spacing w:after="0"/>
        <w:ind w:left="0" w:hanging="2"/>
        <w:jc w:val="both"/>
        <w:rPr>
          <w:rFonts w:ascii="Times New Roman" w:hAnsi="Times New Roman" w:cs="Times New Roman"/>
          <w:lang w:val="uk-UA"/>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sidRPr="00946C67">
        <w:rPr>
          <w:rFonts w:ascii="Times New Roman" w:eastAsia="Times New Roman" w:hAnsi="Times New Roman" w:cs="Times New Roman"/>
          <w:b/>
          <w:color w:val="000000"/>
          <w:sz w:val="24"/>
          <w:szCs w:val="24"/>
        </w:rPr>
        <w:t xml:space="preserve">ІІІ. Мета </w:t>
      </w:r>
      <w:r w:rsidRPr="00946C67">
        <w:rPr>
          <w:rFonts w:ascii="Times New Roman" w:eastAsia="Times New Roman" w:hAnsi="Times New Roman" w:cs="Times New Roman"/>
          <w:b/>
          <w:color w:val="000000"/>
          <w:sz w:val="24"/>
          <w:szCs w:val="24"/>
          <w:lang w:val="uk-UA"/>
        </w:rPr>
        <w:t xml:space="preserve">і завдання </w:t>
      </w:r>
      <w:r w:rsidRPr="00946C67">
        <w:rPr>
          <w:rFonts w:ascii="Times New Roman" w:eastAsia="Times New Roman" w:hAnsi="Times New Roman" w:cs="Times New Roman"/>
          <w:b/>
          <w:color w:val="000000"/>
          <w:sz w:val="24"/>
          <w:szCs w:val="24"/>
        </w:rPr>
        <w:t>Програми</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Метою Програми є забезпечення стабільної та беззбиткової діяльності Комунального підприємства «Житло-Експлуатація» Роменської міської ради», збереження комунального майна шляхом надання даному підприємству фінансової підтримки у 2025 році, спрямованої на виконання наступних завдань:</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здійснення статутної діяльності,</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забезпечення  раціонального використання і збереження комунального майна,</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вирішення окремих питань господарської діяльності комунального підприємства шляхом поповнення обігових коштів,</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забезпечення надання підприємством безперебійних та якісних послуг з комплексного обслуговування будинків.</w:t>
      </w:r>
    </w:p>
    <w:p w:rsidR="00946C67" w:rsidRPr="00946C67" w:rsidRDefault="00946C67" w:rsidP="00946C6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946C67">
        <w:rPr>
          <w:rFonts w:ascii="Times New Roman" w:eastAsia="Times New Roman" w:hAnsi="Times New Roman" w:cs="Times New Roman"/>
          <w:b/>
          <w:color w:val="000000"/>
          <w:sz w:val="24"/>
          <w:szCs w:val="24"/>
        </w:rPr>
        <w:t>IV. Обґрунтування шляхів і способів роз’яснення проблеми</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Надання фінансової підтримки Комунальному підприємству «Житло-Експлуатація» Роменської міської ради» буде здійснюватись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Головним розпорядником коштів на виконання Програми є управління житлово-комунального господарства Роменської міської ради.</w:t>
      </w:r>
    </w:p>
    <w:p w:rsidR="00946C67" w:rsidRPr="00946C67" w:rsidRDefault="00946C67" w:rsidP="00946C6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46C67" w:rsidRPr="00946C67" w:rsidRDefault="00946C67" w:rsidP="00946C67">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sidRPr="00946C67">
        <w:rPr>
          <w:rFonts w:ascii="Times New Roman" w:eastAsia="Times New Roman" w:hAnsi="Times New Roman" w:cs="Times New Roman"/>
          <w:b/>
          <w:color w:val="000000"/>
          <w:sz w:val="24"/>
          <w:szCs w:val="24"/>
        </w:rPr>
        <w:t>V. Організація реалізації Програми та</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946C67">
        <w:rPr>
          <w:rFonts w:ascii="Times New Roman" w:eastAsia="Times New Roman" w:hAnsi="Times New Roman" w:cs="Times New Roman"/>
          <w:b/>
          <w:color w:val="000000"/>
          <w:sz w:val="24"/>
          <w:szCs w:val="24"/>
        </w:rPr>
        <w:t>здійснення контролю за її виконанням</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даної Програми відповідні зміни до неї вносяться рішенням міської ради.</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Безпосередній контроль за виконанням завдань Програми здійснює відповідальний виконавець.</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uk-UA"/>
        </w:rPr>
      </w:pPr>
      <w:r w:rsidRPr="00946C67">
        <w:rPr>
          <w:rFonts w:ascii="Times New Roman" w:eastAsia="Times New Roman" w:hAnsi="Times New Roman" w:cs="Times New Roman"/>
          <w:b/>
          <w:color w:val="000000"/>
          <w:sz w:val="24"/>
          <w:szCs w:val="24"/>
        </w:rPr>
        <w:t>VI. Фінансова забезпеченість Програми</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uk-UA"/>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Виконавцями Програми визнати:</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lastRenderedPageBreak/>
        <w:t>2) Комунальне підприємство «Житло-Експлуатація» Роменської міської ради» – одержувач бюджетних коштів на виконання заходів Програми.</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Обсяги фінансування Програми наведені в додатку 1. Протягом року суми фінансування можуть бути скориговані.</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наведений у додатку 2 до Програми.</w:t>
      </w:r>
    </w:p>
    <w:p w:rsidR="00946C67" w:rsidRPr="00946C67" w:rsidRDefault="00946C67" w:rsidP="00946C67">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946C67">
        <w:rPr>
          <w:rFonts w:ascii="Times New Roman" w:eastAsia="Times New Roman" w:hAnsi="Times New Roman" w:cs="Times New Roman"/>
          <w:b/>
          <w:color w:val="000000"/>
          <w:sz w:val="24"/>
          <w:szCs w:val="24"/>
        </w:rPr>
        <w:t>VII. Очікувані результати виконання Програми</w:t>
      </w:r>
    </w:p>
    <w:p w:rsidR="00946C67" w:rsidRPr="00946C67" w:rsidRDefault="00946C67" w:rsidP="00946C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Виконання Програми дасть можливість забезпечити:</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якісне надання послуг по утриманню житлових будинків;</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впорядкування розрахунків підприємств з енергопостачальними організаціями за спожиту електроенергію по місцям загального користування, за матеріали та послуги, що використовуються в процесі виробництва послуг; </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ефективне використання майна, що є власністю Роменської міської територіальної громади;</w:t>
      </w:r>
    </w:p>
    <w:p w:rsidR="00946C67" w:rsidRPr="00946C67" w:rsidRDefault="00946C67" w:rsidP="00946C67">
      <w:pPr>
        <w:shd w:val="clear" w:color="auto" w:fill="FFFFFF"/>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дотриманню нормативів, норм, стандартів, порядків і правил при виробництві і наданні послуг.</w:t>
      </w:r>
    </w:p>
    <w:p w:rsidR="00946C67" w:rsidRPr="00946C67" w:rsidRDefault="00946C67" w:rsidP="00946C67">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sectPr w:rsidR="00946C67" w:rsidRPr="00946C67" w:rsidSect="002107F1">
          <w:pgSz w:w="11906" w:h="16838"/>
          <w:pgMar w:top="1134" w:right="567" w:bottom="851" w:left="1701" w:header="709" w:footer="709" w:gutter="0"/>
          <w:pgNumType w:start="1"/>
          <w:cols w:space="720"/>
          <w:docGrid w:linePitch="299"/>
        </w:sectPr>
      </w:pPr>
    </w:p>
    <w:p w:rsidR="00946C67" w:rsidRPr="00946C67" w:rsidRDefault="00946C67" w:rsidP="00946C67">
      <w:pPr>
        <w:suppressAutoHyphens w:val="0"/>
        <w:spacing w:after="0" w:line="240" w:lineRule="auto"/>
        <w:ind w:leftChars="3091" w:left="6802" w:firstLineChars="0" w:hanging="2"/>
        <w:textDirection w:val="lrTb"/>
        <w:textAlignment w:val="auto"/>
        <w:outlineLvl w:val="9"/>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lastRenderedPageBreak/>
        <w:t xml:space="preserve">Додаток 1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до Програми фінансової підтримки Комунального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підприємства </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«Житло-Експлуатація»</w:t>
      </w:r>
    </w:p>
    <w:p w:rsidR="00946C67" w:rsidRPr="00946C67" w:rsidRDefault="00946C67" w:rsidP="00946C67">
      <w:pPr>
        <w:spacing w:after="0" w:line="240" w:lineRule="auto"/>
        <w:ind w:leftChars="3091" w:left="6802"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Роменської міської ради на 2025 рік</w:t>
      </w:r>
    </w:p>
    <w:p w:rsidR="00946C67" w:rsidRPr="00946C67" w:rsidRDefault="00946C67" w:rsidP="00946C6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Перелік заходів та обсяги фінансування</w:t>
      </w: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Програми фінансової підтримки Комунального підприємства «Житло-Експлуатація»</w:t>
      </w:r>
    </w:p>
    <w:p w:rsidR="00946C67" w:rsidRPr="00946C67" w:rsidRDefault="00946C67" w:rsidP="00946C67">
      <w:pPr>
        <w:spacing w:after="0"/>
        <w:ind w:left="0" w:hanging="2"/>
        <w:jc w:val="center"/>
        <w:rPr>
          <w:rFonts w:ascii="Times New Roman" w:hAnsi="Times New Roman"/>
          <w:b/>
          <w:sz w:val="24"/>
          <w:szCs w:val="24"/>
          <w:lang w:val="uk-UA"/>
        </w:rPr>
      </w:pPr>
      <w:r w:rsidRPr="00946C67">
        <w:rPr>
          <w:rFonts w:ascii="Times New Roman" w:hAnsi="Times New Roman"/>
          <w:b/>
          <w:sz w:val="24"/>
          <w:szCs w:val="24"/>
          <w:lang w:val="uk-UA"/>
        </w:rPr>
        <w:t>Роменської міської ради на 2025 рік</w:t>
      </w:r>
    </w:p>
    <w:p w:rsidR="00455412" w:rsidRPr="00455412" w:rsidRDefault="00455412" w:rsidP="00455412">
      <w:pPr>
        <w:spacing w:after="0"/>
        <w:ind w:left="0" w:hanging="2"/>
        <w:jc w:val="center"/>
        <w:rPr>
          <w:rFonts w:ascii="Times New Roman" w:hAnsi="Times New Roman"/>
          <w:sz w:val="24"/>
          <w:szCs w:val="24"/>
          <w:lang w:val="uk-UA"/>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946C67" w:rsidRPr="00946C67" w:rsidTr="0007719B">
        <w:trPr>
          <w:trHeight w:val="890"/>
        </w:trPr>
        <w:tc>
          <w:tcPr>
            <w:tcW w:w="505"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 з/п</w:t>
            </w:r>
          </w:p>
        </w:tc>
        <w:tc>
          <w:tcPr>
            <w:tcW w:w="3431" w:type="dxa"/>
            <w:gridSpan w:val="2"/>
            <w:vAlign w:val="center"/>
          </w:tcPr>
          <w:p w:rsidR="00946C67" w:rsidRPr="00946C67" w:rsidRDefault="00946C67" w:rsidP="00946C67">
            <w:pPr>
              <w:spacing w:after="0" w:line="240" w:lineRule="auto"/>
              <w:ind w:left="0" w:right="-108"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Напрямок</w:t>
            </w:r>
          </w:p>
        </w:tc>
        <w:tc>
          <w:tcPr>
            <w:tcW w:w="3827" w:type="dxa"/>
            <w:vAlign w:val="center"/>
          </w:tcPr>
          <w:p w:rsidR="00946C67" w:rsidRPr="00946C67" w:rsidRDefault="00946C67" w:rsidP="00946C67">
            <w:pPr>
              <w:spacing w:after="0" w:line="240" w:lineRule="auto"/>
              <w:ind w:left="0" w:hanging="2"/>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Заходи</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Обсяги фінансування, тис. грн</w:t>
            </w:r>
          </w:p>
        </w:tc>
      </w:tr>
      <w:tr w:rsidR="00946C67" w:rsidRPr="00946C67" w:rsidTr="0007719B">
        <w:trPr>
          <w:trHeight w:val="1074"/>
        </w:trPr>
        <w:tc>
          <w:tcPr>
            <w:tcW w:w="505" w:type="dxa"/>
            <w:vMerge w:val="restart"/>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bCs/>
                <w:position w:val="0"/>
                <w:sz w:val="24"/>
                <w:szCs w:val="24"/>
                <w:lang w:val="uk-UA" w:eastAsia="en-US"/>
              </w:rPr>
              <w:t>1</w:t>
            </w:r>
          </w:p>
        </w:tc>
        <w:tc>
          <w:tcPr>
            <w:tcW w:w="3431" w:type="dxa"/>
            <w:gridSpan w:val="2"/>
            <w:vMerge w:val="restart"/>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bCs/>
                <w:position w:val="0"/>
                <w:sz w:val="24"/>
                <w:szCs w:val="24"/>
                <w:lang w:val="uk-UA" w:eastAsia="en-US"/>
              </w:rPr>
              <w:t>Фінансова підтримка КП «Житло-Експлуатація» РМР»</w:t>
            </w:r>
          </w:p>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5D10E4" w:rsidP="00946C67">
            <w:pPr>
              <w:spacing w:after="0" w:line="240" w:lineRule="auto"/>
              <w:ind w:left="0" w:hanging="2"/>
              <w:textDirection w:val="lrTb"/>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   заробітна плата</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hAnsi="Times New Roman"/>
                <w:sz w:val="24"/>
                <w:szCs w:val="24"/>
                <w:lang w:val="uk-UA" w:eastAsia="en-US"/>
              </w:rPr>
              <w:t>353,000</w:t>
            </w:r>
          </w:p>
        </w:tc>
      </w:tr>
      <w:tr w:rsidR="00946C67" w:rsidRPr="00946C67" w:rsidTr="0007719B">
        <w:trPr>
          <w:trHeight w:val="994"/>
        </w:trPr>
        <w:tc>
          <w:tcPr>
            <w:tcW w:w="505" w:type="dxa"/>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431" w:type="dxa"/>
            <w:gridSpan w:val="2"/>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946C67" w:rsidP="005D10E4">
            <w:pPr>
              <w:spacing w:after="0" w:line="240" w:lineRule="auto"/>
              <w:ind w:left="0" w:hanging="2"/>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 xml:space="preserve">2)  </w:t>
            </w:r>
            <w:r w:rsidR="005D10E4">
              <w:rPr>
                <w:rFonts w:ascii="Times New Roman" w:hAnsi="Times New Roman" w:cs="Times New Roman"/>
                <w:sz w:val="24"/>
                <w:szCs w:val="24"/>
                <w:lang w:val="uk-UA" w:eastAsia="en-US"/>
              </w:rPr>
              <w:t>нарахування на оплату праці</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eastAsia="Times New Roman" w:hAnsi="Times New Roman" w:cs="Times New Roman"/>
                <w:bCs/>
                <w:position w:val="0"/>
                <w:sz w:val="24"/>
                <w:szCs w:val="24"/>
                <w:lang w:val="uk-UA" w:eastAsia="en-US"/>
              </w:rPr>
            </w:pPr>
            <w:r w:rsidRPr="00946C67">
              <w:rPr>
                <w:rFonts w:ascii="Times New Roman" w:hAnsi="Times New Roman" w:cs="Times New Roman"/>
                <w:sz w:val="24"/>
                <w:szCs w:val="24"/>
                <w:lang w:val="uk-UA" w:eastAsia="en-US"/>
              </w:rPr>
              <w:t xml:space="preserve">77,000 </w:t>
            </w:r>
          </w:p>
        </w:tc>
      </w:tr>
      <w:tr w:rsidR="00946C67" w:rsidRPr="00946C67" w:rsidTr="0007719B">
        <w:trPr>
          <w:trHeight w:val="994"/>
        </w:trPr>
        <w:tc>
          <w:tcPr>
            <w:tcW w:w="505" w:type="dxa"/>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431" w:type="dxa"/>
            <w:gridSpan w:val="2"/>
            <w:vMerge/>
          </w:tcPr>
          <w:p w:rsidR="00946C67" w:rsidRPr="00946C67" w:rsidRDefault="00946C67" w:rsidP="00946C67">
            <w:pPr>
              <w:spacing w:after="0" w:line="240" w:lineRule="auto"/>
              <w:ind w:left="0" w:hanging="2"/>
              <w:textDirection w:val="lrTb"/>
              <w:rPr>
                <w:rFonts w:ascii="Times New Roman" w:eastAsia="Times New Roman" w:hAnsi="Times New Roman" w:cs="Times New Roman"/>
                <w:bCs/>
                <w:position w:val="0"/>
                <w:sz w:val="24"/>
                <w:szCs w:val="24"/>
                <w:lang w:val="uk-UA" w:eastAsia="en-US"/>
              </w:rPr>
            </w:pPr>
          </w:p>
        </w:tc>
        <w:tc>
          <w:tcPr>
            <w:tcW w:w="3827" w:type="dxa"/>
            <w:vAlign w:val="center"/>
          </w:tcPr>
          <w:p w:rsidR="00946C67" w:rsidRPr="00946C67" w:rsidRDefault="00946C67" w:rsidP="00946C67">
            <w:pPr>
              <w:spacing w:after="0" w:line="240" w:lineRule="auto"/>
              <w:ind w:left="0" w:hanging="2"/>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3) податок на додану вартість</w:t>
            </w:r>
          </w:p>
        </w:tc>
        <w:tc>
          <w:tcPr>
            <w:tcW w:w="1843" w:type="dxa"/>
            <w:vAlign w:val="center"/>
          </w:tcPr>
          <w:p w:rsidR="00946C67" w:rsidRPr="00946C67" w:rsidRDefault="00946C67" w:rsidP="00946C67">
            <w:pPr>
              <w:spacing w:after="0" w:line="240" w:lineRule="auto"/>
              <w:ind w:left="0" w:hanging="2"/>
              <w:jc w:val="center"/>
              <w:textDirection w:val="lrTb"/>
              <w:rPr>
                <w:rFonts w:ascii="Times New Roman" w:hAnsi="Times New Roman" w:cs="Times New Roman"/>
                <w:sz w:val="24"/>
                <w:szCs w:val="24"/>
                <w:lang w:val="uk-UA" w:eastAsia="en-US"/>
              </w:rPr>
            </w:pPr>
            <w:r w:rsidRPr="00946C67">
              <w:rPr>
                <w:rFonts w:ascii="Times New Roman" w:hAnsi="Times New Roman" w:cs="Times New Roman"/>
                <w:sz w:val="24"/>
                <w:szCs w:val="24"/>
                <w:lang w:val="uk-UA" w:eastAsia="en-US"/>
              </w:rPr>
              <w:t>70,000</w:t>
            </w:r>
          </w:p>
        </w:tc>
      </w:tr>
      <w:tr w:rsidR="00946C67" w:rsidRPr="00946C67" w:rsidTr="0007719B">
        <w:tblPrEx>
          <w:tblLook w:val="0000" w:firstRow="0" w:lastRow="0" w:firstColumn="0" w:lastColumn="0" w:noHBand="0" w:noVBand="0"/>
        </w:tblPrEx>
        <w:trPr>
          <w:trHeight w:val="457"/>
        </w:trPr>
        <w:tc>
          <w:tcPr>
            <w:tcW w:w="511" w:type="dxa"/>
            <w:gridSpan w:val="2"/>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p>
        </w:tc>
        <w:tc>
          <w:tcPr>
            <w:tcW w:w="3425" w:type="dxa"/>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Разом:</w:t>
            </w:r>
          </w:p>
        </w:tc>
        <w:tc>
          <w:tcPr>
            <w:tcW w:w="3827" w:type="dxa"/>
            <w:tcBorders>
              <w:bottom w:val="single" w:sz="4" w:space="0" w:color="auto"/>
            </w:tcBorders>
            <w:vAlign w:val="bottom"/>
          </w:tcPr>
          <w:p w:rsidR="00946C67" w:rsidRPr="00946C67" w:rsidRDefault="00946C67" w:rsidP="00946C67">
            <w:pPr>
              <w:ind w:left="0" w:hanging="2"/>
              <w:textDirection w:val="lrTb"/>
              <w:rPr>
                <w:rFonts w:ascii="Times New Roman" w:eastAsia="Times New Roman" w:hAnsi="Times New Roman" w:cs="Times New Roman"/>
                <w:b/>
                <w:bCs/>
                <w:position w:val="0"/>
                <w:sz w:val="24"/>
                <w:szCs w:val="24"/>
                <w:lang w:val="uk-UA" w:eastAsia="en-US"/>
              </w:rPr>
            </w:pPr>
          </w:p>
        </w:tc>
        <w:tc>
          <w:tcPr>
            <w:tcW w:w="1843" w:type="dxa"/>
            <w:tcBorders>
              <w:bottom w:val="single" w:sz="4" w:space="0" w:color="auto"/>
            </w:tcBorders>
            <w:vAlign w:val="bottom"/>
          </w:tcPr>
          <w:p w:rsidR="00946C67" w:rsidRPr="00946C67" w:rsidRDefault="00946C67" w:rsidP="00946C67">
            <w:pPr>
              <w:ind w:left="0" w:hanging="2"/>
              <w:jc w:val="center"/>
              <w:textDirection w:val="lrTb"/>
              <w:rPr>
                <w:rFonts w:ascii="Times New Roman" w:eastAsia="Times New Roman" w:hAnsi="Times New Roman" w:cs="Times New Roman"/>
                <w:b/>
                <w:bCs/>
                <w:position w:val="0"/>
                <w:sz w:val="24"/>
                <w:szCs w:val="24"/>
                <w:lang w:val="uk-UA" w:eastAsia="en-US"/>
              </w:rPr>
            </w:pPr>
            <w:r w:rsidRPr="00946C67">
              <w:rPr>
                <w:rFonts w:ascii="Times New Roman" w:eastAsia="Times New Roman" w:hAnsi="Times New Roman" w:cs="Times New Roman"/>
                <w:b/>
                <w:bCs/>
                <w:position w:val="0"/>
                <w:sz w:val="24"/>
                <w:szCs w:val="24"/>
                <w:lang w:val="uk-UA" w:eastAsia="en-US"/>
              </w:rPr>
              <w:t>500,000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2107F1">
          <w:pgSz w:w="11906" w:h="16838"/>
          <w:pgMar w:top="1134" w:right="567" w:bottom="851" w:left="1701" w:header="706" w:footer="706" w:gutter="0"/>
          <w:cols w:space="720"/>
          <w:docGrid w:linePitch="299"/>
        </w:sectPr>
      </w:pPr>
    </w:p>
    <w:p w:rsidR="00946C67" w:rsidRPr="00946C67" w:rsidRDefault="00946C67" w:rsidP="00946C67">
      <w:pPr>
        <w:tabs>
          <w:tab w:val="left" w:pos="6659"/>
        </w:tabs>
        <w:spacing w:after="0" w:line="240" w:lineRule="auto"/>
        <w:ind w:leftChars="3027" w:left="6661"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lastRenderedPageBreak/>
        <w:t xml:space="preserve">Додаток 2 до </w:t>
      </w:r>
    </w:p>
    <w:p w:rsidR="00946C67" w:rsidRPr="00946C67" w:rsidRDefault="00946C67" w:rsidP="00946C67">
      <w:pPr>
        <w:tabs>
          <w:tab w:val="left" w:pos="6659"/>
        </w:tabs>
        <w:spacing w:after="0" w:line="240" w:lineRule="auto"/>
        <w:ind w:leftChars="3027" w:left="6659" w:firstLineChars="0" w:firstLine="0"/>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 xml:space="preserve">Програми фінансової підтримки </w:t>
      </w:r>
    </w:p>
    <w:p w:rsidR="00946C67" w:rsidRPr="00946C67" w:rsidRDefault="00946C67" w:rsidP="00946C67">
      <w:pPr>
        <w:tabs>
          <w:tab w:val="left" w:pos="6659"/>
        </w:tabs>
        <w:spacing w:after="0" w:line="240" w:lineRule="auto"/>
        <w:ind w:leftChars="3027" w:left="6661" w:hanging="2"/>
        <w:rPr>
          <w:rFonts w:ascii="Times New Roman" w:eastAsia="Times New Roman" w:hAnsi="Times New Roman"/>
          <w:b/>
          <w:sz w:val="24"/>
          <w:szCs w:val="24"/>
          <w:lang w:val="uk-UA"/>
        </w:rPr>
      </w:pPr>
      <w:r w:rsidRPr="00946C67">
        <w:rPr>
          <w:rFonts w:ascii="Times New Roman" w:eastAsia="Times New Roman" w:hAnsi="Times New Roman"/>
          <w:b/>
          <w:sz w:val="24"/>
          <w:szCs w:val="24"/>
          <w:lang w:val="uk-UA"/>
        </w:rPr>
        <w:t>Комунальному підприємству «Житло-Експлуатація» Роменської міської ради»на 2025 рік</w:t>
      </w:r>
    </w:p>
    <w:p w:rsidR="00946C67" w:rsidRPr="00946C67" w:rsidRDefault="00946C67" w:rsidP="00946C67">
      <w:pPr>
        <w:pBdr>
          <w:top w:val="nil"/>
          <w:left w:val="nil"/>
          <w:bottom w:val="nil"/>
          <w:right w:val="nil"/>
          <w:between w:val="nil"/>
        </w:pBdr>
        <w:shd w:val="clear" w:color="auto" w:fill="FFFFFF"/>
        <w:tabs>
          <w:tab w:val="left" w:pos="6659"/>
        </w:tabs>
        <w:spacing w:after="0" w:line="240" w:lineRule="auto"/>
        <w:ind w:left="0" w:hanging="2"/>
        <w:jc w:val="center"/>
        <w:rPr>
          <w:rFonts w:ascii="Times New Roman" w:eastAsia="Times New Roman" w:hAnsi="Times New Roman" w:cs="Times New Roman"/>
          <w:color w:val="000000"/>
          <w:sz w:val="24"/>
          <w:szCs w:val="24"/>
        </w:rPr>
      </w:pPr>
    </w:p>
    <w:p w:rsidR="00946C67" w:rsidRPr="00946C67" w:rsidRDefault="00946C67" w:rsidP="00946C67">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color w:val="000000"/>
          <w:sz w:val="24"/>
          <w:szCs w:val="24"/>
        </w:rPr>
      </w:pPr>
      <w:r w:rsidRPr="00946C67">
        <w:rPr>
          <w:rFonts w:ascii="Times New Roman" w:eastAsia="Times New Roman" w:hAnsi="Times New Roman" w:cs="Times New Roman"/>
          <w:b/>
          <w:color w:val="000000"/>
          <w:sz w:val="24"/>
          <w:szCs w:val="24"/>
        </w:rPr>
        <w:t>ПОРЯДОК</w:t>
      </w:r>
    </w:p>
    <w:p w:rsidR="00946C67" w:rsidRPr="00946C67" w:rsidRDefault="00946C67" w:rsidP="00946C67">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b/>
          <w:color w:val="000000"/>
          <w:sz w:val="24"/>
          <w:szCs w:val="24"/>
          <w:lang w:val="uk-UA"/>
        </w:rPr>
      </w:pPr>
      <w:r w:rsidRPr="00946C67">
        <w:rPr>
          <w:rFonts w:ascii="Times New Roman" w:eastAsia="Times New Roman" w:hAnsi="Times New Roman" w:cs="Times New Roman"/>
          <w:b/>
          <w:color w:val="000000"/>
          <w:sz w:val="24"/>
          <w:szCs w:val="24"/>
        </w:rPr>
        <w:t>виділення та використання коштів з бюджету</w:t>
      </w:r>
      <w:r w:rsidRPr="00946C67">
        <w:rPr>
          <w:rFonts w:ascii="Times New Roman" w:eastAsia="Times New Roman" w:hAnsi="Times New Roman" w:cs="Times New Roman"/>
          <w:b/>
          <w:color w:val="000000"/>
          <w:sz w:val="24"/>
          <w:szCs w:val="24"/>
          <w:lang w:val="uk-UA"/>
        </w:rPr>
        <w:t xml:space="preserve"> Роменської міської територіальної громади</w:t>
      </w:r>
      <w:r w:rsidRPr="00946C67">
        <w:rPr>
          <w:rFonts w:ascii="Times New Roman" w:eastAsia="Times New Roman" w:hAnsi="Times New Roman" w:cs="Times New Roman"/>
          <w:b/>
          <w:color w:val="000000"/>
          <w:sz w:val="24"/>
          <w:szCs w:val="24"/>
        </w:rPr>
        <w:t xml:space="preserve"> у формі фінансової підтримки </w:t>
      </w:r>
      <w:r w:rsidRPr="00946C67">
        <w:rPr>
          <w:rFonts w:ascii="Times New Roman" w:eastAsia="Times New Roman" w:hAnsi="Times New Roman" w:cs="Times New Roman"/>
          <w:b/>
          <w:color w:val="000000"/>
          <w:sz w:val="24"/>
          <w:szCs w:val="24"/>
          <w:lang w:val="uk-UA"/>
        </w:rPr>
        <w:t>Комунальному підприємству</w:t>
      </w:r>
    </w:p>
    <w:p w:rsidR="00946C67" w:rsidRPr="00946C67" w:rsidRDefault="00946C67" w:rsidP="00946C67">
      <w:pPr>
        <w:pBdr>
          <w:top w:val="nil"/>
          <w:left w:val="nil"/>
          <w:bottom w:val="nil"/>
          <w:right w:val="nil"/>
          <w:between w:val="nil"/>
        </w:pBdr>
        <w:shd w:val="clear" w:color="auto" w:fill="FFFFFF"/>
        <w:tabs>
          <w:tab w:val="left" w:pos="6659"/>
        </w:tabs>
        <w:spacing w:after="0"/>
        <w:ind w:left="0" w:hanging="2"/>
        <w:jc w:val="center"/>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b/>
          <w:color w:val="000000"/>
          <w:sz w:val="24"/>
          <w:szCs w:val="24"/>
          <w:lang w:val="uk-UA"/>
        </w:rPr>
        <w:t xml:space="preserve"> «Житло-Експлуатація» Роменської міської ради» </w:t>
      </w:r>
    </w:p>
    <w:p w:rsidR="00946C67" w:rsidRPr="00946C67" w:rsidRDefault="00946C67" w:rsidP="00946C67">
      <w:pPr>
        <w:pBdr>
          <w:top w:val="nil"/>
          <w:left w:val="nil"/>
          <w:bottom w:val="nil"/>
          <w:right w:val="nil"/>
          <w:between w:val="nil"/>
        </w:pBdr>
        <w:shd w:val="clear" w:color="auto" w:fill="FFFFFF"/>
        <w:tabs>
          <w:tab w:val="left" w:pos="6659"/>
        </w:tabs>
        <w:spacing w:after="0" w:line="240" w:lineRule="auto"/>
        <w:ind w:left="0" w:hanging="2"/>
        <w:jc w:val="both"/>
        <w:rPr>
          <w:rFonts w:ascii="Times New Roman" w:eastAsia="Times New Roman" w:hAnsi="Times New Roman" w:cs="Times New Roman"/>
          <w:color w:val="000000"/>
          <w:sz w:val="24"/>
          <w:szCs w:val="24"/>
          <w:lang w:val="uk-UA"/>
        </w:rPr>
      </w:pPr>
      <w:r w:rsidRPr="00946C67">
        <w:rPr>
          <w:rFonts w:ascii="Times New Roman" w:eastAsia="Times New Roman" w:hAnsi="Times New Roman" w:cs="Times New Roman"/>
          <w:color w:val="000000"/>
          <w:sz w:val="24"/>
          <w:szCs w:val="24"/>
        </w:rPr>
        <w:t>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«Житло-Експлуатація» Роменської міської ради» у рамках Програми фінансової підтримки Комунальному підприємству «Житло-Експлуатація» Роменської міської ради» на 2025 рік»  (далі – Програма).</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2. Фінансова підтримка Комунальному підприємству «Житло-Експлуатація»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3. Фінансова підтримка Комунальному підприємству «Житло-Експлуатація» Роменської міської ради» надається на безповоротній основі для забезпечення функціонування комунального підприємства та безперервного надання послуг з комплексного обслуговування об’єктів.</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«Житло-Експлуатація» Роменської міської ради» здійснюється засновником на визначену Програмою мету у передбачених обсягах.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2025 рік, та за цією Програмою  в межах надходжень до бюджету Роменської міської територіальної громади.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територіальних органах Державної казначейської служби України  фінансовими зобов'язаннями одержувача (у частині видатків загального фонду). </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lastRenderedPageBreak/>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такі витрати комунального підприємства:</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2) на відрахування профспілковим організаціям для проведення культурно-масової і фізкультурної роботи;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4) на надання спонсорської і благодійної допомоги;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946C67" w:rsidRPr="00946C67" w:rsidRDefault="00946C67" w:rsidP="00946C67">
      <w:pPr>
        <w:shd w:val="clear" w:color="auto" w:fill="FFFFFF"/>
        <w:tabs>
          <w:tab w:val="left" w:pos="6659"/>
        </w:tabs>
        <w:suppressAutoHyphens w:val="0"/>
        <w:spacing w:after="120" w:line="269" w:lineRule="auto"/>
        <w:ind w:leftChars="0" w:left="0" w:firstLineChars="0" w:firstLine="425"/>
        <w:jc w:val="both"/>
        <w:textAlignment w:val="baseline"/>
        <w:outlineLvl w:val="9"/>
        <w:rPr>
          <w:rFonts w:ascii="Times New Roman" w:eastAsia="Times New Roman" w:hAnsi="Times New Roman" w:cs="Times New Roman"/>
          <w:position w:val="0"/>
          <w:sz w:val="24"/>
          <w:szCs w:val="24"/>
          <w:lang w:val="uk-UA" w:eastAsia="en-US"/>
        </w:rPr>
      </w:pPr>
      <w:r w:rsidRPr="00946C67">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B86848" w:rsidRPr="00B86848" w:rsidRDefault="00B86848" w:rsidP="00B86848">
      <w:pPr>
        <w:pBdr>
          <w:top w:val="nil"/>
          <w:left w:val="nil"/>
          <w:bottom w:val="nil"/>
          <w:right w:val="nil"/>
          <w:between w:val="nil"/>
        </w:pBdr>
        <w:ind w:left="0" w:hanging="2"/>
        <w:rPr>
          <w:rFonts w:ascii="Times New Roman" w:hAnsi="Times New Roman" w:cs="Times New Roman"/>
          <w:b/>
          <w:sz w:val="24"/>
          <w:szCs w:val="24"/>
          <w:lang w:val="uk-UA" w:eastAsia="zh-CN"/>
        </w:rPr>
      </w:pPr>
      <w:r w:rsidRPr="00B86848">
        <w:rPr>
          <w:rFonts w:ascii="Times New Roman" w:hAnsi="Times New Roman" w:cs="Times New Roman"/>
          <w:b/>
          <w:sz w:val="24"/>
          <w:szCs w:val="24"/>
          <w:lang w:val="uk-UA" w:eastAsia="zh-CN"/>
        </w:rPr>
        <w:t xml:space="preserve">Секретар міської ради                                                  </w:t>
      </w:r>
      <w:r>
        <w:rPr>
          <w:rFonts w:ascii="Times New Roman" w:hAnsi="Times New Roman" w:cs="Times New Roman"/>
          <w:b/>
          <w:sz w:val="24"/>
          <w:szCs w:val="24"/>
          <w:lang w:val="uk-UA" w:eastAsia="zh-CN"/>
        </w:rPr>
        <w:t xml:space="preserve">                              </w:t>
      </w:r>
      <w:r w:rsidRPr="00B86848">
        <w:rPr>
          <w:rFonts w:ascii="Times New Roman" w:hAnsi="Times New Roman" w:cs="Times New Roman"/>
          <w:b/>
          <w:sz w:val="24"/>
          <w:szCs w:val="24"/>
          <w:lang w:val="uk-UA" w:eastAsia="zh-CN"/>
        </w:rPr>
        <w:t>В’ячеслав ГУБАРЬ</w:t>
      </w:r>
    </w:p>
    <w:p w:rsidR="009649D3" w:rsidRDefault="009649D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946C67" w:rsidRDefault="00946C67"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946C67" w:rsidRPr="009649D3" w:rsidRDefault="00946C67"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946C67" w:rsidRPr="00946C67" w:rsidRDefault="00946C67" w:rsidP="00946C67">
      <w:pPr>
        <w:tabs>
          <w:tab w:val="left" w:pos="6659"/>
        </w:tabs>
        <w:spacing w:after="0" w:line="273" w:lineRule="auto"/>
        <w:ind w:left="0" w:hanging="2"/>
        <w:jc w:val="center"/>
        <w:rPr>
          <w:rFonts w:ascii="Times New Roman" w:hAnsi="Times New Roman"/>
          <w:sz w:val="24"/>
          <w:szCs w:val="24"/>
        </w:rPr>
      </w:pPr>
      <w:r w:rsidRPr="00946C67">
        <w:rPr>
          <w:rFonts w:ascii="Times New Roman" w:hAnsi="Times New Roman"/>
          <w:b/>
          <w:bCs/>
          <w:color w:val="000000"/>
          <w:sz w:val="24"/>
          <w:szCs w:val="24"/>
        </w:rPr>
        <w:lastRenderedPageBreak/>
        <w:t>ПОЯСНЮВАЛЬНА ЗАПИСКА</w:t>
      </w:r>
    </w:p>
    <w:p w:rsidR="00946C67" w:rsidRPr="00946C67" w:rsidRDefault="00946C67" w:rsidP="00946C67">
      <w:pPr>
        <w:tabs>
          <w:tab w:val="left" w:pos="6659"/>
        </w:tabs>
        <w:spacing w:after="0" w:line="273" w:lineRule="auto"/>
        <w:ind w:left="0" w:hanging="2"/>
        <w:jc w:val="center"/>
        <w:rPr>
          <w:rFonts w:ascii="Times New Roman" w:hAnsi="Times New Roman"/>
          <w:b/>
          <w:bCs/>
          <w:color w:val="000000"/>
          <w:sz w:val="24"/>
          <w:szCs w:val="24"/>
          <w:lang w:val="uk-UA"/>
        </w:rPr>
      </w:pPr>
      <w:r w:rsidRPr="00946C67">
        <w:rPr>
          <w:rFonts w:ascii="Times New Roman" w:hAnsi="Times New Roman"/>
          <w:b/>
          <w:bCs/>
          <w:color w:val="000000"/>
          <w:sz w:val="24"/>
          <w:szCs w:val="24"/>
        </w:rPr>
        <w:t>до проєкту рішення Роменської міської ради</w:t>
      </w:r>
    </w:p>
    <w:p w:rsidR="00946C67" w:rsidRPr="00946C67" w:rsidRDefault="00946C67" w:rsidP="00946C67">
      <w:pPr>
        <w:tabs>
          <w:tab w:val="left" w:pos="6659"/>
        </w:tabs>
        <w:spacing w:after="0" w:line="273" w:lineRule="auto"/>
        <w:ind w:left="0" w:hanging="2"/>
        <w:jc w:val="center"/>
        <w:rPr>
          <w:rFonts w:ascii="Times New Roman" w:hAnsi="Times New Roman"/>
          <w:b/>
          <w:bCs/>
          <w:color w:val="000000"/>
          <w:sz w:val="24"/>
          <w:szCs w:val="24"/>
          <w:lang w:val="uk-UA"/>
        </w:rPr>
      </w:pPr>
      <w:r w:rsidRPr="00946C67">
        <w:rPr>
          <w:rFonts w:ascii="Times New Roman" w:hAnsi="Times New Roman"/>
          <w:b/>
          <w:bCs/>
          <w:color w:val="000000"/>
          <w:sz w:val="24"/>
          <w:szCs w:val="24"/>
          <w:lang w:val="uk-UA"/>
        </w:rPr>
        <w:t>«</w:t>
      </w:r>
      <w:r w:rsidRPr="00946C67">
        <w:rPr>
          <w:rFonts w:ascii="Times New Roman" w:hAnsi="Times New Roman"/>
          <w:b/>
          <w:bCs/>
          <w:color w:val="000000"/>
          <w:sz w:val="24"/>
          <w:szCs w:val="24"/>
        </w:rPr>
        <w:t xml:space="preserve">Про затвердження Програми фінансової підтримки </w:t>
      </w:r>
      <w:r w:rsidRPr="00946C67">
        <w:rPr>
          <w:rFonts w:ascii="Times New Roman" w:hAnsi="Times New Roman"/>
          <w:b/>
          <w:bCs/>
          <w:color w:val="000000"/>
          <w:sz w:val="24"/>
          <w:szCs w:val="24"/>
          <w:lang w:val="uk-UA"/>
        </w:rPr>
        <w:t>К</w:t>
      </w:r>
      <w:r w:rsidRPr="00946C67">
        <w:rPr>
          <w:rFonts w:ascii="Times New Roman" w:hAnsi="Times New Roman"/>
          <w:b/>
          <w:bCs/>
          <w:color w:val="000000"/>
          <w:sz w:val="24"/>
          <w:szCs w:val="24"/>
        </w:rPr>
        <w:t>омунального підприємства «</w:t>
      </w:r>
      <w:r w:rsidRPr="00946C67">
        <w:rPr>
          <w:rFonts w:ascii="Times New Roman" w:hAnsi="Times New Roman"/>
          <w:b/>
          <w:bCs/>
          <w:color w:val="000000"/>
          <w:sz w:val="24"/>
          <w:szCs w:val="24"/>
          <w:lang w:val="uk-UA"/>
        </w:rPr>
        <w:t>Житло-Експлуатація</w:t>
      </w:r>
      <w:r w:rsidRPr="00946C67">
        <w:rPr>
          <w:rFonts w:ascii="Times New Roman" w:hAnsi="Times New Roman"/>
          <w:b/>
          <w:bCs/>
          <w:color w:val="000000"/>
          <w:sz w:val="24"/>
          <w:szCs w:val="24"/>
        </w:rPr>
        <w:t>» Роменської міської ради</w:t>
      </w:r>
      <w:r w:rsidRPr="00946C67">
        <w:rPr>
          <w:rFonts w:ascii="Times New Roman" w:hAnsi="Times New Roman"/>
          <w:b/>
          <w:bCs/>
          <w:color w:val="000000"/>
          <w:sz w:val="24"/>
          <w:szCs w:val="24"/>
          <w:lang w:val="uk-UA"/>
        </w:rPr>
        <w:t>»</w:t>
      </w:r>
      <w:r w:rsidR="00331A3B">
        <w:rPr>
          <w:rFonts w:ascii="Times New Roman" w:hAnsi="Times New Roman"/>
          <w:b/>
          <w:bCs/>
          <w:color w:val="000000"/>
          <w:sz w:val="24"/>
          <w:szCs w:val="24"/>
        </w:rPr>
        <w:t xml:space="preserve"> на 202</w:t>
      </w:r>
      <w:r w:rsidR="00331A3B">
        <w:rPr>
          <w:rFonts w:ascii="Times New Roman" w:hAnsi="Times New Roman"/>
          <w:b/>
          <w:bCs/>
          <w:color w:val="000000"/>
          <w:sz w:val="24"/>
          <w:szCs w:val="24"/>
          <w:lang w:val="uk-UA"/>
        </w:rPr>
        <w:t>5</w:t>
      </w:r>
      <w:r w:rsidRPr="00946C67">
        <w:rPr>
          <w:rFonts w:ascii="Times New Roman" w:hAnsi="Times New Roman"/>
          <w:b/>
          <w:bCs/>
          <w:color w:val="000000"/>
          <w:sz w:val="24"/>
          <w:szCs w:val="24"/>
        </w:rPr>
        <w:t xml:space="preserve"> рік</w:t>
      </w:r>
      <w:r w:rsidRPr="00946C67">
        <w:rPr>
          <w:rFonts w:ascii="Times New Roman" w:hAnsi="Times New Roman"/>
          <w:b/>
          <w:bCs/>
          <w:color w:val="000000"/>
          <w:sz w:val="24"/>
          <w:szCs w:val="24"/>
          <w:lang w:val="uk-UA"/>
        </w:rPr>
        <w:t>»</w:t>
      </w:r>
    </w:p>
    <w:p w:rsidR="00946C67" w:rsidRPr="00946C67" w:rsidRDefault="00946C67" w:rsidP="00946C67">
      <w:pPr>
        <w:tabs>
          <w:tab w:val="left" w:pos="6659"/>
        </w:tabs>
        <w:spacing w:after="0" w:line="273" w:lineRule="auto"/>
        <w:ind w:left="0" w:hanging="2"/>
        <w:jc w:val="center"/>
        <w:rPr>
          <w:rFonts w:ascii="Times New Roman" w:hAnsi="Times New Roman"/>
          <w:b/>
          <w:bCs/>
          <w:color w:val="000000"/>
          <w:sz w:val="24"/>
          <w:szCs w:val="24"/>
          <w:lang w:val="uk-UA"/>
        </w:rPr>
      </w:pPr>
    </w:p>
    <w:p w:rsidR="00946C67" w:rsidRPr="00946C67" w:rsidRDefault="00946C67" w:rsidP="00946C67">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bCs/>
          <w:position w:val="0"/>
          <w:sz w:val="24"/>
          <w:szCs w:val="24"/>
          <w:lang w:val="uk-UA" w:eastAsia="en-US"/>
        </w:rPr>
      </w:pPr>
      <w:r w:rsidRPr="00946C67">
        <w:rPr>
          <w:rFonts w:ascii="Times New Roman" w:eastAsia="Times New Roman" w:hAnsi="Times New Roman" w:cs="Times New Roman"/>
          <w:position w:val="0"/>
          <w:sz w:val="24"/>
          <w:szCs w:val="24"/>
          <w:lang w:val="uk-UA"/>
        </w:rPr>
        <w:t xml:space="preserve">Проєкт рішення «Про затвердження Програми фінансової підтримки Комунального підприємства «Житло-Експлуатація» Роменської міської ради» на 2025 рік» розроблений відповідно до </w:t>
      </w:r>
      <w:r w:rsidRPr="00946C67">
        <w:rPr>
          <w:rFonts w:ascii="Times New Roman" w:eastAsia="Times New Roman" w:hAnsi="Times New Roman" w:cs="Times New Roman"/>
          <w:bCs/>
          <w:position w:val="0"/>
          <w:sz w:val="24"/>
          <w:szCs w:val="24"/>
          <w:lang w:val="uk-UA" w:eastAsia="en-US"/>
        </w:rPr>
        <w:t xml:space="preserve">пункту 22  частини 1 статті 26 Закону України «Про місцеве самоврядування в Україні», пункту </w:t>
      </w:r>
      <w:r w:rsidRPr="00946C67">
        <w:rPr>
          <w:rFonts w:ascii="Times New Roman" w:eastAsia="Times New Roman" w:hAnsi="Times New Roman" w:cs="Times New Roman"/>
          <w:position w:val="0"/>
          <w:sz w:val="24"/>
          <w:szCs w:val="24"/>
          <w:lang w:val="uk-UA"/>
        </w:rPr>
        <w:t>5</w:t>
      </w:r>
      <w:r w:rsidRPr="00946C67">
        <w:rPr>
          <w:rFonts w:ascii="Times New Roman" w:eastAsia="Times New Roman" w:hAnsi="Times New Roman" w:cs="Times New Roman"/>
          <w:position w:val="0"/>
          <w:sz w:val="24"/>
          <w:szCs w:val="24"/>
          <w:vertAlign w:val="superscript"/>
          <w:lang w:val="uk-UA"/>
        </w:rPr>
        <w:t>2</w:t>
      </w:r>
      <w:r w:rsidRPr="00946C67">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w:t>
      </w:r>
      <w:r w:rsidRPr="00946C67">
        <w:rPr>
          <w:rFonts w:ascii="Times New Roman" w:eastAsia="Times New Roman" w:hAnsi="Times New Roman" w:cs="Times New Roman"/>
          <w:bCs/>
          <w:position w:val="0"/>
          <w:sz w:val="24"/>
          <w:szCs w:val="24"/>
          <w:lang w:val="uk-UA" w:eastAsia="en-US"/>
        </w:rPr>
        <w:t xml:space="preserve">протоколу чергових зборів наглядової ради КП «Житло-Експлуатація» РМР від 03.01.2025 №1, з метою забезпечення функціонування комунального підприємства та надання безперервних послуг  з комплексного обслуговування об’єктів </w:t>
      </w:r>
    </w:p>
    <w:p w:rsidR="00946C67" w:rsidRPr="00946C67" w:rsidRDefault="00946C67" w:rsidP="00946C67">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946C67">
        <w:rPr>
          <w:rFonts w:ascii="Times New Roman" w:eastAsia="Times New Roman" w:hAnsi="Times New Roman" w:cs="Times New Roman"/>
          <w:position w:val="0"/>
          <w:sz w:val="24"/>
          <w:szCs w:val="24"/>
          <w:lang w:val="uk-UA"/>
        </w:rPr>
        <w:t>Діючі тарифи на послуги з утримання будинків, споруд та прибудинкових територій не покривають фактичні витрати підприємства, в результаті чого власних коштів підприємства не вистачає на виплату заробітної плати, витрат по сплаті єдиного соціального внеску, витрат по податку на додану вартість.</w:t>
      </w:r>
    </w:p>
    <w:p w:rsidR="00946C67" w:rsidRPr="00946C67" w:rsidRDefault="00946C67" w:rsidP="00946C67">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946C67">
        <w:rPr>
          <w:rFonts w:ascii="Times New Roman" w:eastAsia="Times New Roman" w:hAnsi="Times New Roman" w:cs="Times New Roman"/>
          <w:position w:val="0"/>
          <w:sz w:val="24"/>
          <w:szCs w:val="24"/>
          <w:lang w:val="uk-UA"/>
        </w:rPr>
        <w:t>Метою Програми є залучення додаткового фінансування, яке сприятиме зміцненню матеріально-технічної бази підприємства, забезпечення функціонування комунального підприємства та надання якісних безперервних послуг з комплексного обслуговування  будинків мешканцям Роменської територіальної громади.</w:t>
      </w:r>
    </w:p>
    <w:p w:rsidR="00946C67" w:rsidRPr="00946C67" w:rsidRDefault="00946C67" w:rsidP="00946C67">
      <w:pPr>
        <w:tabs>
          <w:tab w:val="left" w:pos="993"/>
          <w:tab w:val="left" w:pos="6659"/>
        </w:tabs>
        <w:suppressAutoHyphens w:val="0"/>
        <w:spacing w:after="120"/>
        <w:ind w:leftChars="0" w:left="0" w:firstLineChars="0" w:firstLine="425"/>
        <w:jc w:val="both"/>
        <w:textAlignment w:val="auto"/>
        <w:outlineLvl w:val="9"/>
        <w:rPr>
          <w:rFonts w:ascii="Times New Roman" w:eastAsia="Times New Roman" w:hAnsi="Times New Roman" w:cs="Times New Roman"/>
          <w:position w:val="0"/>
          <w:sz w:val="24"/>
          <w:szCs w:val="24"/>
          <w:lang w:val="uk-UA"/>
        </w:rPr>
      </w:pPr>
      <w:r w:rsidRPr="00946C67">
        <w:rPr>
          <w:rFonts w:ascii="Times New Roman" w:eastAsia="Times New Roman" w:hAnsi="Times New Roman" w:cs="Times New Roman"/>
          <w:position w:val="0"/>
          <w:sz w:val="24"/>
          <w:szCs w:val="24"/>
          <w:lang w:val="uk-UA"/>
        </w:rPr>
        <w:t>Проєкт</w:t>
      </w:r>
      <w:r w:rsidR="00F46C22">
        <w:rPr>
          <w:rFonts w:ascii="Times New Roman" w:eastAsia="Times New Roman" w:hAnsi="Times New Roman" w:cs="Times New Roman"/>
          <w:position w:val="0"/>
          <w:sz w:val="24"/>
          <w:szCs w:val="24"/>
          <w:lang w:val="uk-UA"/>
        </w:rPr>
        <w:t xml:space="preserve"> рішення передбачає надання</w:t>
      </w:r>
      <w:r w:rsidRPr="00946C67">
        <w:rPr>
          <w:rFonts w:ascii="Times New Roman" w:eastAsia="Times New Roman" w:hAnsi="Times New Roman" w:cs="Times New Roman"/>
          <w:position w:val="0"/>
          <w:sz w:val="24"/>
          <w:szCs w:val="24"/>
          <w:lang w:val="uk-UA"/>
        </w:rPr>
        <w:t xml:space="preserve"> фінансової підтримки Комунального підприємства «Житло-Експлуатація» Роменської міської ради» на 2025 рік» за рахунок коштів Бюджету Роменської міської територіальної громади в розмірі 500,000 тис. грн на  витрати по </w:t>
      </w:r>
      <w:r w:rsidR="001F09DE">
        <w:rPr>
          <w:rFonts w:ascii="Times New Roman" w:eastAsia="Times New Roman" w:hAnsi="Times New Roman" w:cs="Times New Roman"/>
          <w:position w:val="0"/>
          <w:sz w:val="24"/>
          <w:szCs w:val="24"/>
          <w:lang w:val="uk-UA"/>
        </w:rPr>
        <w:t>заробітній платі, нарахування на оплату праці  та податок</w:t>
      </w:r>
      <w:r w:rsidRPr="00946C67">
        <w:rPr>
          <w:rFonts w:ascii="Times New Roman" w:eastAsia="Times New Roman" w:hAnsi="Times New Roman" w:cs="Times New Roman"/>
          <w:position w:val="0"/>
          <w:sz w:val="24"/>
          <w:szCs w:val="24"/>
          <w:lang w:val="uk-UA"/>
        </w:rPr>
        <w:t xml:space="preserve"> на додану вартість.</w:t>
      </w:r>
    </w:p>
    <w:p w:rsidR="00946C67" w:rsidRPr="00946C67" w:rsidRDefault="00946C67" w:rsidP="00946C67">
      <w:pPr>
        <w:tabs>
          <w:tab w:val="left" w:pos="993"/>
          <w:tab w:val="left" w:pos="6659"/>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649D3" w:rsidRPr="009649D3" w:rsidRDefault="009649D3" w:rsidP="009649D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EA" w:rsidRDefault="00992EEA" w:rsidP="00D84EE1">
      <w:pPr>
        <w:spacing w:after="0" w:line="240" w:lineRule="auto"/>
        <w:ind w:left="0" w:hanging="2"/>
      </w:pPr>
      <w:r>
        <w:separator/>
      </w:r>
    </w:p>
  </w:endnote>
  <w:endnote w:type="continuationSeparator" w:id="0">
    <w:p w:rsidR="00992EEA" w:rsidRDefault="00992EEA"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EA" w:rsidRDefault="00992EEA" w:rsidP="00D84EE1">
      <w:pPr>
        <w:spacing w:after="0" w:line="240" w:lineRule="auto"/>
        <w:ind w:left="0" w:hanging="2"/>
      </w:pPr>
      <w:r>
        <w:separator/>
      </w:r>
    </w:p>
  </w:footnote>
  <w:footnote w:type="continuationSeparator" w:id="0">
    <w:p w:rsidR="00992EEA" w:rsidRDefault="00992EEA"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92EEA">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B4C05"/>
    <w:rsid w:val="000F723D"/>
    <w:rsid w:val="0017299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10E4"/>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82A77"/>
    <w:rsid w:val="0088751B"/>
    <w:rsid w:val="00896250"/>
    <w:rsid w:val="008A032F"/>
    <w:rsid w:val="008B6152"/>
    <w:rsid w:val="008D4D4B"/>
    <w:rsid w:val="008D729D"/>
    <w:rsid w:val="00914DA9"/>
    <w:rsid w:val="009466D5"/>
    <w:rsid w:val="00946C67"/>
    <w:rsid w:val="009649D3"/>
    <w:rsid w:val="00965E68"/>
    <w:rsid w:val="009700F8"/>
    <w:rsid w:val="00977EA2"/>
    <w:rsid w:val="00992EEA"/>
    <w:rsid w:val="00995B53"/>
    <w:rsid w:val="009D5B56"/>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17688"/>
    <w:rsid w:val="00C344B5"/>
    <w:rsid w:val="00C408C1"/>
    <w:rsid w:val="00C660D8"/>
    <w:rsid w:val="00CA0974"/>
    <w:rsid w:val="00CC57E3"/>
    <w:rsid w:val="00CF4C17"/>
    <w:rsid w:val="00D31BC9"/>
    <w:rsid w:val="00D3463F"/>
    <w:rsid w:val="00D84EE1"/>
    <w:rsid w:val="00DC071A"/>
    <w:rsid w:val="00DC7DE4"/>
    <w:rsid w:val="00DD38E7"/>
    <w:rsid w:val="00E515D5"/>
    <w:rsid w:val="00E5435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9392</Words>
  <Characters>5354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11</cp:revision>
  <cp:lastPrinted>2025-01-10T07:14:00Z</cp:lastPrinted>
  <dcterms:created xsi:type="dcterms:W3CDTF">2025-01-09T11:55:00Z</dcterms:created>
  <dcterms:modified xsi:type="dcterms:W3CDTF">2025-01-10T07:14:00Z</dcterms:modified>
</cp:coreProperties>
</file>