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CF" w:rsidRDefault="00132FCF" w:rsidP="00132FCF">
      <w:pPr>
        <w:pStyle w:val="Style1"/>
        <w:widowControl/>
        <w:spacing w:before="67" w:line="322" w:lineRule="exact"/>
        <w:ind w:firstLine="0"/>
        <w:jc w:val="center"/>
        <w:rPr>
          <w:rStyle w:val="FontStyle11"/>
          <w:bCs/>
          <w:sz w:val="24"/>
          <w:lang w:val="uk-UA" w:eastAsia="uk-UA"/>
        </w:rPr>
      </w:pPr>
      <w:r>
        <w:rPr>
          <w:rStyle w:val="FontStyle11"/>
          <w:bCs/>
          <w:sz w:val="24"/>
          <w:lang w:val="uk-UA" w:eastAsia="uk-UA"/>
        </w:rPr>
        <w:t>Звіт</w:t>
      </w:r>
    </w:p>
    <w:p w:rsidR="00132FCF" w:rsidRDefault="00132FCF" w:rsidP="00132FCF">
      <w:pPr>
        <w:pStyle w:val="Style1"/>
        <w:widowControl/>
        <w:spacing w:before="67" w:line="322" w:lineRule="exact"/>
        <w:ind w:firstLine="0"/>
        <w:jc w:val="center"/>
        <w:rPr>
          <w:rStyle w:val="FontStyle12"/>
          <w:iCs/>
          <w:sz w:val="24"/>
        </w:rPr>
      </w:pPr>
      <w:r>
        <w:rPr>
          <w:rStyle w:val="FontStyle11"/>
          <w:bCs/>
          <w:sz w:val="24"/>
          <w:lang w:val="uk-UA" w:eastAsia="uk-UA"/>
        </w:rPr>
        <w:t>про періодичне відстеження результативності регуляторного акту - рішення дванадцятої сесії Роменської міської ради шостого скликання від 25.02.2012 « Про затвердження Порядку розміщення тимчасових споруд для провадження підприємницької діяльності на території м. Ромни»</w:t>
      </w:r>
    </w:p>
    <w:p w:rsidR="00132FCF" w:rsidRDefault="00132FCF" w:rsidP="00132FCF">
      <w:pPr>
        <w:pStyle w:val="Style1"/>
        <w:widowControl/>
        <w:spacing w:before="67" w:line="322" w:lineRule="exact"/>
        <w:ind w:firstLine="0"/>
        <w:jc w:val="center"/>
      </w:pPr>
    </w:p>
    <w:p w:rsidR="00132FCF" w:rsidRDefault="00132FCF" w:rsidP="00132FCF">
      <w:pPr>
        <w:pStyle w:val="Style5"/>
        <w:widowControl/>
        <w:spacing w:before="29" w:line="269" w:lineRule="exact"/>
        <w:jc w:val="left"/>
        <w:rPr>
          <w:rStyle w:val="FontStyle14"/>
          <w:bCs/>
          <w:sz w:val="24"/>
          <w:lang w:eastAsia="uk-UA"/>
        </w:rPr>
      </w:pPr>
      <w:r>
        <w:rPr>
          <w:rStyle w:val="FontStyle14"/>
          <w:bCs/>
          <w:sz w:val="24"/>
          <w:lang w:val="uk-UA" w:eastAsia="uk-UA"/>
        </w:rPr>
        <w:t>1.      Вид та назва регуляторного акта, результативність якого відстежується.</w:t>
      </w:r>
    </w:p>
    <w:p w:rsidR="00132FCF" w:rsidRPr="00132FCF" w:rsidRDefault="00132FCF" w:rsidP="00132FCF">
      <w:pPr>
        <w:pStyle w:val="Style1"/>
        <w:widowControl/>
        <w:spacing w:before="67" w:line="322" w:lineRule="exact"/>
        <w:ind w:firstLine="0"/>
        <w:jc w:val="both"/>
        <w:rPr>
          <w:rStyle w:val="FontStyle12"/>
          <w:i w:val="0"/>
          <w:iCs/>
          <w:sz w:val="24"/>
          <w:lang w:val="uk-UA"/>
        </w:rPr>
      </w:pPr>
      <w:r>
        <w:rPr>
          <w:rStyle w:val="FontStyle12"/>
          <w:bCs/>
          <w:iCs/>
          <w:sz w:val="24"/>
          <w:lang w:val="uk-UA" w:eastAsia="uk-UA"/>
        </w:rPr>
        <w:t xml:space="preserve">         </w:t>
      </w:r>
      <w:r>
        <w:rPr>
          <w:rStyle w:val="FontStyle12"/>
          <w:b w:val="0"/>
          <w:bCs/>
          <w:i w:val="0"/>
          <w:iCs/>
          <w:sz w:val="24"/>
          <w:lang w:val="uk-UA" w:eastAsia="uk-UA"/>
        </w:rPr>
        <w:t xml:space="preserve">Рішення дванадцятої сесії Роменської міської ради шостого скликання  від 25.02.2012  </w:t>
      </w:r>
      <w:r>
        <w:rPr>
          <w:rStyle w:val="FontStyle11"/>
          <w:b w:val="0"/>
          <w:bCs/>
          <w:sz w:val="24"/>
          <w:lang w:val="uk-UA" w:eastAsia="uk-UA"/>
        </w:rPr>
        <w:t>«Про затвердження Порядку розміщення тимчасових споруд для провадження підприємницької діяльності на території м. Ромни».</w:t>
      </w:r>
    </w:p>
    <w:p w:rsidR="00132FCF" w:rsidRPr="00132FCF" w:rsidRDefault="00132FCF" w:rsidP="00132FCF">
      <w:pPr>
        <w:pStyle w:val="Style1"/>
        <w:widowControl/>
        <w:spacing w:before="67" w:line="322" w:lineRule="exact"/>
        <w:ind w:firstLine="0"/>
        <w:jc w:val="both"/>
        <w:rPr>
          <w:rStyle w:val="FontStyle14"/>
          <w:b w:val="0"/>
          <w:sz w:val="24"/>
          <w:lang w:val="uk-UA"/>
        </w:rPr>
      </w:pPr>
    </w:p>
    <w:p w:rsidR="00132FCF" w:rsidRDefault="00132FCF" w:rsidP="00132FCF">
      <w:pPr>
        <w:pStyle w:val="Style5"/>
        <w:widowControl/>
        <w:spacing w:line="276" w:lineRule="auto"/>
        <w:jc w:val="left"/>
        <w:rPr>
          <w:rStyle w:val="FontStyle14"/>
          <w:bCs/>
          <w:sz w:val="24"/>
          <w:lang w:val="uk-UA" w:eastAsia="uk-UA"/>
        </w:rPr>
      </w:pPr>
      <w:r>
        <w:rPr>
          <w:rStyle w:val="FontStyle14"/>
          <w:bCs/>
          <w:sz w:val="24"/>
          <w:lang w:val="uk-UA" w:eastAsia="uk-UA"/>
        </w:rPr>
        <w:t>2. Назва виконавця заходів з відстеження.</w:t>
      </w:r>
    </w:p>
    <w:p w:rsidR="00132FCF" w:rsidRPr="00132FCF" w:rsidRDefault="00A570CC" w:rsidP="00132FCF">
      <w:pPr>
        <w:pStyle w:val="Style4"/>
        <w:widowControl/>
        <w:spacing w:line="276" w:lineRule="auto"/>
        <w:ind w:firstLine="451"/>
        <w:rPr>
          <w:lang w:val="uk-UA"/>
        </w:rPr>
      </w:pPr>
      <w:r>
        <w:rPr>
          <w:rStyle w:val="FontStyle13"/>
          <w:sz w:val="24"/>
          <w:lang w:val="uk-UA" w:eastAsia="uk-UA"/>
        </w:rPr>
        <w:t>Виконавець заходів періодичного</w:t>
      </w:r>
      <w:r w:rsidR="00132FCF">
        <w:rPr>
          <w:rStyle w:val="FontStyle13"/>
          <w:sz w:val="24"/>
          <w:lang w:val="uk-UA" w:eastAsia="uk-UA"/>
        </w:rPr>
        <w:t xml:space="preserve"> відстеження – відділ містобудування та архітектури виконкому Роменської міської ради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58" w:line="276" w:lineRule="auto"/>
        <w:ind w:firstLine="0"/>
        <w:rPr>
          <w:rStyle w:val="FontStyle14"/>
          <w:bCs/>
          <w:sz w:val="24"/>
          <w:lang w:eastAsia="uk-UA"/>
        </w:rPr>
      </w:pPr>
      <w:r>
        <w:rPr>
          <w:rStyle w:val="FontStyle14"/>
          <w:bCs/>
          <w:sz w:val="24"/>
          <w:lang w:val="uk-UA" w:eastAsia="uk-UA"/>
        </w:rPr>
        <w:t>3.</w:t>
      </w:r>
      <w:r>
        <w:rPr>
          <w:rStyle w:val="FontStyle14"/>
          <w:bCs/>
          <w:sz w:val="24"/>
          <w:lang w:val="uk-UA" w:eastAsia="uk-UA"/>
        </w:rPr>
        <w:tab/>
        <w:t>Мета прийняття акта.</w:t>
      </w:r>
    </w:p>
    <w:p w:rsidR="00132FCF" w:rsidRDefault="00132FCF" w:rsidP="00132FCF">
      <w:pPr>
        <w:pStyle w:val="Style4"/>
        <w:widowControl/>
        <w:spacing w:before="14" w:line="276" w:lineRule="auto"/>
        <w:rPr>
          <w:rStyle w:val="FontStyle13"/>
          <w:sz w:val="24"/>
        </w:rPr>
      </w:pPr>
      <w:r>
        <w:rPr>
          <w:rStyle w:val="FontStyle13"/>
          <w:sz w:val="24"/>
          <w:lang w:val="uk-UA" w:eastAsia="uk-UA"/>
        </w:rPr>
        <w:t xml:space="preserve">       </w:t>
      </w:r>
      <w:proofErr w:type="spellStart"/>
      <w:r>
        <w:rPr>
          <w:rStyle w:val="FontStyle13"/>
          <w:sz w:val="24"/>
          <w:lang w:val="uk-UA" w:eastAsia="uk-UA"/>
        </w:rPr>
        <w:t>-встановлення</w:t>
      </w:r>
      <w:proofErr w:type="spellEnd"/>
      <w:r>
        <w:rPr>
          <w:rStyle w:val="FontStyle13"/>
          <w:sz w:val="24"/>
          <w:lang w:val="uk-UA" w:eastAsia="uk-UA"/>
        </w:rPr>
        <w:t xml:space="preserve"> на території міста Ромни єдиного функціонального механізму розміщення тимчасових споруд для провадження підприємницької діяльності;</w:t>
      </w:r>
    </w:p>
    <w:p w:rsidR="00132FCF" w:rsidRDefault="00132FCF" w:rsidP="00132FCF">
      <w:pPr>
        <w:pStyle w:val="Style4"/>
        <w:widowControl/>
        <w:spacing w:before="14" w:line="276" w:lineRule="auto"/>
        <w:rPr>
          <w:rStyle w:val="FontStyle13"/>
          <w:sz w:val="24"/>
          <w:lang w:val="uk-UA" w:eastAsia="uk-UA"/>
        </w:rPr>
      </w:pPr>
      <w:r>
        <w:rPr>
          <w:rStyle w:val="FontStyle13"/>
          <w:sz w:val="24"/>
          <w:lang w:val="uk-UA" w:eastAsia="uk-UA"/>
        </w:rPr>
        <w:t xml:space="preserve">      </w:t>
      </w:r>
      <w:proofErr w:type="spellStart"/>
      <w:r>
        <w:rPr>
          <w:rStyle w:val="FontStyle13"/>
          <w:sz w:val="24"/>
          <w:lang w:val="uk-UA" w:eastAsia="uk-UA"/>
        </w:rPr>
        <w:t>-оформлення</w:t>
      </w:r>
      <w:proofErr w:type="spellEnd"/>
      <w:r>
        <w:rPr>
          <w:rStyle w:val="FontStyle13"/>
          <w:sz w:val="24"/>
          <w:lang w:val="uk-UA" w:eastAsia="uk-UA"/>
        </w:rPr>
        <w:t xml:space="preserve"> та видача паспортів прив’язки тимчасових споруд із дотриманням будівельних норм;</w:t>
      </w:r>
    </w:p>
    <w:p w:rsidR="00132FCF" w:rsidRDefault="00132FCF" w:rsidP="00132FCF">
      <w:pPr>
        <w:pStyle w:val="Style4"/>
        <w:widowControl/>
        <w:spacing w:before="14" w:line="276" w:lineRule="auto"/>
        <w:ind w:left="446"/>
        <w:rPr>
          <w:rStyle w:val="FontStyle13"/>
          <w:sz w:val="24"/>
          <w:lang w:val="uk-UA" w:eastAsia="uk-UA"/>
        </w:rPr>
      </w:pPr>
      <w:proofErr w:type="spellStart"/>
      <w:r>
        <w:rPr>
          <w:rStyle w:val="FontStyle13"/>
          <w:sz w:val="24"/>
          <w:lang w:val="uk-UA" w:eastAsia="uk-UA"/>
        </w:rPr>
        <w:t>-визначення</w:t>
      </w:r>
      <w:proofErr w:type="spellEnd"/>
      <w:r>
        <w:rPr>
          <w:rStyle w:val="FontStyle13"/>
          <w:sz w:val="24"/>
          <w:lang w:val="uk-UA" w:eastAsia="uk-UA"/>
        </w:rPr>
        <w:t xml:space="preserve"> земельних ділянок для розміщення тимчасових споруд;</w:t>
      </w:r>
    </w:p>
    <w:p w:rsidR="00132FCF" w:rsidRDefault="00132FCF" w:rsidP="00132FCF">
      <w:pPr>
        <w:pStyle w:val="Style4"/>
        <w:widowControl/>
        <w:spacing w:before="14" w:line="276" w:lineRule="auto"/>
        <w:ind w:left="446"/>
        <w:rPr>
          <w:rStyle w:val="FontStyle13"/>
          <w:sz w:val="24"/>
          <w:lang w:val="uk-UA" w:eastAsia="uk-UA"/>
        </w:rPr>
      </w:pPr>
      <w:proofErr w:type="spellStart"/>
      <w:r>
        <w:rPr>
          <w:rStyle w:val="FontStyle13"/>
          <w:sz w:val="24"/>
          <w:lang w:val="uk-UA" w:eastAsia="uk-UA"/>
        </w:rPr>
        <w:t>-укладання</w:t>
      </w:r>
      <w:proofErr w:type="spellEnd"/>
      <w:r>
        <w:rPr>
          <w:rStyle w:val="FontStyle13"/>
          <w:sz w:val="24"/>
          <w:lang w:val="uk-UA" w:eastAsia="uk-UA"/>
        </w:rPr>
        <w:t xml:space="preserve"> договорів на користування земельною ділянкою;</w:t>
      </w:r>
    </w:p>
    <w:p w:rsidR="00132FCF" w:rsidRDefault="00132FCF" w:rsidP="00132FCF">
      <w:pPr>
        <w:pStyle w:val="Style4"/>
        <w:widowControl/>
        <w:spacing w:before="14" w:line="276" w:lineRule="auto"/>
      </w:pPr>
      <w:r>
        <w:rPr>
          <w:rStyle w:val="FontStyle13"/>
          <w:sz w:val="24"/>
          <w:lang w:val="uk-UA" w:eastAsia="uk-UA"/>
        </w:rPr>
        <w:t xml:space="preserve">        </w:t>
      </w:r>
      <w:proofErr w:type="spellStart"/>
      <w:r>
        <w:rPr>
          <w:rStyle w:val="FontStyle13"/>
          <w:sz w:val="24"/>
          <w:lang w:val="uk-UA" w:eastAsia="uk-UA"/>
        </w:rPr>
        <w:t>-зростання</w:t>
      </w:r>
      <w:proofErr w:type="spellEnd"/>
      <w:r>
        <w:rPr>
          <w:rStyle w:val="FontStyle13"/>
          <w:sz w:val="24"/>
          <w:lang w:val="uk-UA" w:eastAsia="uk-UA"/>
        </w:rPr>
        <w:t xml:space="preserve"> надходжень до міського бю</w:t>
      </w:r>
      <w:r w:rsidR="006E6408">
        <w:rPr>
          <w:rStyle w:val="FontStyle13"/>
          <w:sz w:val="24"/>
          <w:lang w:val="uk-UA" w:eastAsia="uk-UA"/>
        </w:rPr>
        <w:t>джету за рахунок</w:t>
      </w:r>
      <w:r>
        <w:rPr>
          <w:rStyle w:val="FontStyle13"/>
          <w:sz w:val="24"/>
          <w:lang w:val="uk-UA" w:eastAsia="uk-UA"/>
        </w:rPr>
        <w:t xml:space="preserve"> плати за користування </w:t>
      </w:r>
      <w:r w:rsidR="006E6408">
        <w:rPr>
          <w:rStyle w:val="FontStyle13"/>
          <w:sz w:val="24"/>
          <w:lang w:val="uk-UA" w:eastAsia="uk-UA"/>
        </w:rPr>
        <w:t xml:space="preserve">земельною </w:t>
      </w:r>
      <w:r>
        <w:rPr>
          <w:rStyle w:val="FontStyle13"/>
          <w:sz w:val="24"/>
          <w:lang w:val="uk-UA" w:eastAsia="uk-UA"/>
        </w:rPr>
        <w:t>ділянкою.</w:t>
      </w:r>
      <w:r>
        <w:rPr>
          <w:lang w:val="uk-UA"/>
        </w:rPr>
        <w:t xml:space="preserve"> 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67" w:line="276" w:lineRule="auto"/>
        <w:ind w:firstLine="0"/>
        <w:jc w:val="both"/>
        <w:rPr>
          <w:rStyle w:val="FontStyle14"/>
          <w:bCs/>
          <w:sz w:val="24"/>
          <w:lang w:eastAsia="uk-UA"/>
        </w:rPr>
      </w:pPr>
      <w:r>
        <w:rPr>
          <w:rStyle w:val="FontStyle14"/>
          <w:bCs/>
          <w:sz w:val="24"/>
          <w:lang w:val="uk-UA" w:eastAsia="uk-UA"/>
        </w:rPr>
        <w:t>4.</w:t>
      </w:r>
      <w:r>
        <w:rPr>
          <w:rStyle w:val="FontStyle14"/>
          <w:bCs/>
          <w:sz w:val="24"/>
          <w:lang w:val="uk-UA" w:eastAsia="uk-UA"/>
        </w:rPr>
        <w:tab/>
        <w:t>Строк виконання заходів з відстеження.</w:t>
      </w:r>
    </w:p>
    <w:p w:rsidR="00132FCF" w:rsidRPr="00132FCF" w:rsidRDefault="00132FCF" w:rsidP="00132FCF">
      <w:pPr>
        <w:pStyle w:val="Style4"/>
        <w:widowControl/>
        <w:spacing w:before="19" w:line="276" w:lineRule="auto"/>
        <w:ind w:left="446"/>
        <w:jc w:val="left"/>
        <w:rPr>
          <w:rStyle w:val="FontStyle13"/>
          <w:sz w:val="24"/>
        </w:rPr>
      </w:pPr>
      <w:r>
        <w:rPr>
          <w:rStyle w:val="FontStyle13"/>
          <w:sz w:val="24"/>
          <w:lang w:val="uk-UA" w:eastAsia="uk-UA"/>
        </w:rPr>
        <w:t>Строк виконання відстеження – з 23 лютого по 23 березня 2024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62" w:line="276" w:lineRule="auto"/>
        <w:ind w:firstLine="0"/>
        <w:rPr>
          <w:rStyle w:val="FontStyle14"/>
          <w:bCs/>
          <w:sz w:val="24"/>
          <w:lang w:val="uk-UA" w:eastAsia="uk-UA"/>
        </w:rPr>
      </w:pPr>
      <w:r>
        <w:rPr>
          <w:rStyle w:val="FontStyle14"/>
          <w:bCs/>
          <w:sz w:val="24"/>
          <w:lang w:val="uk-UA" w:eastAsia="uk-UA"/>
        </w:rPr>
        <w:t>5.</w:t>
      </w:r>
      <w:r>
        <w:rPr>
          <w:rStyle w:val="FontStyle14"/>
          <w:bCs/>
          <w:sz w:val="24"/>
          <w:lang w:val="uk-UA" w:eastAsia="uk-UA"/>
        </w:rPr>
        <w:tab/>
        <w:t>Тип відстеження.</w:t>
      </w:r>
    </w:p>
    <w:p w:rsidR="00132FCF" w:rsidRDefault="00132FCF" w:rsidP="00132FCF">
      <w:pPr>
        <w:pStyle w:val="Style4"/>
        <w:widowControl/>
        <w:spacing w:before="19" w:line="276" w:lineRule="auto"/>
        <w:ind w:left="442"/>
        <w:jc w:val="left"/>
        <w:rPr>
          <w:rStyle w:val="FontStyle13"/>
          <w:sz w:val="24"/>
        </w:rPr>
      </w:pPr>
      <w:r>
        <w:rPr>
          <w:rStyle w:val="FontStyle13"/>
          <w:sz w:val="24"/>
          <w:lang w:val="uk-UA" w:eastAsia="uk-UA"/>
        </w:rPr>
        <w:t>Періодичне відстеження.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53" w:line="276" w:lineRule="auto"/>
        <w:ind w:firstLine="0"/>
        <w:rPr>
          <w:rStyle w:val="FontStyle14"/>
          <w:bCs/>
          <w:sz w:val="24"/>
          <w:lang w:val="uk-UA" w:eastAsia="uk-UA"/>
        </w:rPr>
      </w:pPr>
      <w:r>
        <w:rPr>
          <w:rStyle w:val="FontStyle14"/>
          <w:bCs/>
          <w:sz w:val="24"/>
          <w:lang w:val="uk-UA" w:eastAsia="uk-UA"/>
        </w:rPr>
        <w:t>6.</w:t>
      </w:r>
      <w:r>
        <w:rPr>
          <w:rStyle w:val="FontStyle14"/>
          <w:bCs/>
          <w:sz w:val="24"/>
          <w:lang w:val="uk-UA" w:eastAsia="uk-UA"/>
        </w:rPr>
        <w:tab/>
        <w:t>Методи одержання результатів відстеження.</w:t>
      </w:r>
    </w:p>
    <w:p w:rsidR="00132FCF" w:rsidRPr="00132FCF" w:rsidRDefault="00132FCF" w:rsidP="00132FCF">
      <w:pPr>
        <w:pStyle w:val="Style4"/>
        <w:widowControl/>
        <w:spacing w:before="24" w:line="276" w:lineRule="auto"/>
        <w:rPr>
          <w:rStyle w:val="FontStyle13"/>
          <w:sz w:val="24"/>
          <w:lang w:val="uk-UA"/>
        </w:rPr>
      </w:pPr>
      <w:r>
        <w:rPr>
          <w:rStyle w:val="FontStyle13"/>
          <w:sz w:val="24"/>
          <w:lang w:val="uk-UA" w:eastAsia="uk-UA"/>
        </w:rPr>
        <w:t xml:space="preserve">        Аналіз кількості звернень щодо розміщення тимчасових споруд для провадження підприємницької діяльності;</w:t>
      </w:r>
    </w:p>
    <w:p w:rsidR="00132FCF" w:rsidRDefault="00132FCF" w:rsidP="00132FCF">
      <w:pPr>
        <w:pStyle w:val="Style4"/>
        <w:widowControl/>
        <w:spacing w:before="24" w:line="276" w:lineRule="auto"/>
        <w:ind w:left="442"/>
        <w:rPr>
          <w:rStyle w:val="FontStyle13"/>
          <w:sz w:val="24"/>
          <w:lang w:val="uk-UA" w:eastAsia="uk-UA"/>
        </w:rPr>
      </w:pPr>
      <w:r>
        <w:rPr>
          <w:rStyle w:val="FontStyle13"/>
          <w:sz w:val="24"/>
          <w:lang w:val="uk-UA" w:eastAsia="uk-UA"/>
        </w:rPr>
        <w:t>Аналіз кількості наданих паспортів прив’язки тимчасових споруд;</w:t>
      </w:r>
    </w:p>
    <w:p w:rsidR="00132FCF" w:rsidRDefault="00132FCF" w:rsidP="00132FCF">
      <w:pPr>
        <w:pStyle w:val="Style4"/>
        <w:widowControl/>
        <w:spacing w:before="24" w:line="276" w:lineRule="auto"/>
        <w:ind w:left="442"/>
        <w:rPr>
          <w:rStyle w:val="FontStyle13"/>
          <w:sz w:val="24"/>
          <w:lang w:val="uk-UA" w:eastAsia="uk-UA"/>
        </w:rPr>
      </w:pPr>
      <w:r>
        <w:rPr>
          <w:rStyle w:val="FontStyle13"/>
          <w:sz w:val="24"/>
          <w:lang w:val="uk-UA" w:eastAsia="uk-UA"/>
        </w:rPr>
        <w:t>Аналіз кількості укладених договорів;</w:t>
      </w:r>
    </w:p>
    <w:p w:rsidR="00132FCF" w:rsidRDefault="00132FCF" w:rsidP="00132FCF">
      <w:pPr>
        <w:pStyle w:val="Style4"/>
        <w:widowControl/>
        <w:spacing w:before="24" w:line="276" w:lineRule="auto"/>
        <w:ind w:left="442"/>
        <w:jc w:val="left"/>
        <w:rPr>
          <w:rStyle w:val="FontStyle13"/>
          <w:sz w:val="24"/>
          <w:lang w:val="uk-UA"/>
        </w:rPr>
      </w:pPr>
      <w:r>
        <w:rPr>
          <w:rStyle w:val="FontStyle13"/>
          <w:sz w:val="24"/>
          <w:lang w:val="uk-UA" w:eastAsia="uk-UA"/>
        </w:rPr>
        <w:t>Аналіз надходжень до міського бюджету за місце користування земельною ділянкою.</w:t>
      </w:r>
    </w:p>
    <w:p w:rsidR="00132FCF" w:rsidRDefault="00132FCF" w:rsidP="00132FCF">
      <w:pPr>
        <w:pStyle w:val="Style6"/>
        <w:widowControl/>
        <w:spacing w:line="276" w:lineRule="auto"/>
        <w:ind w:left="350"/>
      </w:pPr>
    </w:p>
    <w:p w:rsidR="00132FCF" w:rsidRDefault="00132FCF" w:rsidP="00132FCF">
      <w:pPr>
        <w:pStyle w:val="Style6"/>
        <w:widowControl/>
        <w:tabs>
          <w:tab w:val="left" w:pos="350"/>
        </w:tabs>
        <w:spacing w:before="43" w:line="276" w:lineRule="auto"/>
        <w:ind w:left="350"/>
        <w:rPr>
          <w:rStyle w:val="FontStyle14"/>
          <w:bCs/>
          <w:sz w:val="24"/>
          <w:lang w:eastAsia="uk-UA"/>
        </w:rPr>
      </w:pPr>
      <w:r>
        <w:rPr>
          <w:rStyle w:val="FontStyle13"/>
          <w:sz w:val="24"/>
          <w:lang w:val="uk-UA" w:eastAsia="uk-UA"/>
        </w:rPr>
        <w:t>7.</w:t>
      </w:r>
      <w:r>
        <w:rPr>
          <w:rStyle w:val="FontStyle13"/>
          <w:sz w:val="24"/>
          <w:lang w:val="uk-UA" w:eastAsia="uk-UA"/>
        </w:rPr>
        <w:tab/>
      </w:r>
      <w:r>
        <w:rPr>
          <w:rStyle w:val="FontStyle14"/>
          <w:bCs/>
          <w:sz w:val="24"/>
          <w:lang w:val="uk-UA" w:eastAsia="uk-UA"/>
        </w:rPr>
        <w:t>Дані та припущення, на основі яких відстежувалась результативність, а також</w:t>
      </w:r>
      <w:r>
        <w:rPr>
          <w:rStyle w:val="FontStyle14"/>
          <w:bCs/>
          <w:sz w:val="24"/>
          <w:lang w:val="uk-UA" w:eastAsia="uk-UA"/>
        </w:rPr>
        <w:br/>
        <w:t>способи одержання даних.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43" w:line="276" w:lineRule="auto"/>
        <w:ind w:left="350"/>
        <w:rPr>
          <w:rStyle w:val="FontStyle13"/>
          <w:sz w:val="24"/>
        </w:rPr>
      </w:pPr>
      <w:r>
        <w:rPr>
          <w:rStyle w:val="FontStyle13"/>
          <w:sz w:val="24"/>
          <w:lang w:val="uk-UA" w:eastAsia="uk-UA"/>
        </w:rPr>
        <w:t xml:space="preserve">      Для проведення періодичного відстеження результативності використані дані з лютого 20</w:t>
      </w:r>
      <w:r w:rsidRPr="00132FCF">
        <w:rPr>
          <w:rStyle w:val="FontStyle13"/>
          <w:sz w:val="24"/>
          <w:lang w:eastAsia="uk-UA"/>
        </w:rPr>
        <w:t>21</w:t>
      </w:r>
      <w:r>
        <w:rPr>
          <w:rStyle w:val="FontStyle13"/>
          <w:sz w:val="24"/>
          <w:lang w:val="uk-UA" w:eastAsia="uk-UA"/>
        </w:rPr>
        <w:t xml:space="preserve"> р по </w:t>
      </w:r>
      <w:r w:rsidR="00E07EF5">
        <w:rPr>
          <w:rStyle w:val="FontStyle13"/>
          <w:sz w:val="24"/>
          <w:lang w:val="uk-UA" w:eastAsia="uk-UA"/>
        </w:rPr>
        <w:t>січень</w:t>
      </w:r>
      <w:r>
        <w:rPr>
          <w:rStyle w:val="FontStyle13"/>
          <w:sz w:val="24"/>
          <w:lang w:val="uk-UA" w:eastAsia="uk-UA"/>
        </w:rPr>
        <w:t xml:space="preserve"> 20</w:t>
      </w:r>
      <w:r w:rsidRPr="00132FCF">
        <w:rPr>
          <w:rStyle w:val="FontStyle13"/>
          <w:sz w:val="24"/>
          <w:lang w:eastAsia="uk-UA"/>
        </w:rPr>
        <w:t>24</w:t>
      </w:r>
      <w:r>
        <w:rPr>
          <w:rStyle w:val="FontStyle13"/>
          <w:sz w:val="24"/>
          <w:lang w:val="uk-UA" w:eastAsia="uk-UA"/>
        </w:rPr>
        <w:t xml:space="preserve"> р., а саме</w:t>
      </w:r>
    </w:p>
    <w:p w:rsidR="00132FCF" w:rsidRDefault="00132FCF" w:rsidP="00132FCF">
      <w:pPr>
        <w:pStyle w:val="Style6"/>
        <w:widowControl/>
        <w:numPr>
          <w:ilvl w:val="0"/>
          <w:numId w:val="1"/>
        </w:numPr>
        <w:tabs>
          <w:tab w:val="left" w:pos="350"/>
        </w:tabs>
        <w:spacing w:before="43" w:line="276" w:lineRule="auto"/>
        <w:rPr>
          <w:rStyle w:val="FontStyle13"/>
          <w:b/>
          <w:bCs/>
          <w:sz w:val="24"/>
          <w:lang w:val="uk-UA" w:eastAsia="uk-UA"/>
        </w:rPr>
      </w:pPr>
      <w:r>
        <w:rPr>
          <w:rStyle w:val="FontStyle13"/>
          <w:sz w:val="24"/>
          <w:lang w:val="uk-UA" w:eastAsia="uk-UA"/>
        </w:rPr>
        <w:t>кількість наданих дозволів;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43" w:line="276" w:lineRule="auto"/>
        <w:ind w:firstLine="0"/>
        <w:rPr>
          <w:rStyle w:val="FontStyle14"/>
          <w:sz w:val="24"/>
        </w:rPr>
      </w:pPr>
      <w:bookmarkStart w:id="0" w:name="_GoBack"/>
      <w:bookmarkEnd w:id="0"/>
      <w:r>
        <w:rPr>
          <w:rStyle w:val="FontStyle14"/>
          <w:bCs/>
          <w:sz w:val="24"/>
          <w:lang w:val="uk-UA" w:eastAsia="uk-UA"/>
        </w:rPr>
        <w:t>Кількісні та якісні значення показників результативності регуляторного акта.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43" w:line="276" w:lineRule="auto"/>
        <w:ind w:firstLine="0"/>
        <w:rPr>
          <w:rStyle w:val="FontStyle14"/>
          <w:b w:val="0"/>
          <w:bCs/>
          <w:sz w:val="24"/>
          <w:lang w:val="uk-UA" w:eastAsia="uk-UA"/>
        </w:rPr>
      </w:pPr>
      <w:r>
        <w:rPr>
          <w:rStyle w:val="FontStyle14"/>
          <w:b w:val="0"/>
          <w:bCs/>
          <w:sz w:val="24"/>
          <w:lang w:val="uk-UA" w:eastAsia="uk-UA"/>
        </w:rPr>
        <w:t xml:space="preserve">      З лютого 2021</w:t>
      </w:r>
      <w:r w:rsidR="00232B14">
        <w:rPr>
          <w:rStyle w:val="FontStyle14"/>
          <w:b w:val="0"/>
          <w:bCs/>
          <w:sz w:val="24"/>
          <w:lang w:val="uk-UA" w:eastAsia="uk-UA"/>
        </w:rPr>
        <w:t xml:space="preserve"> п</w:t>
      </w:r>
      <w:r>
        <w:rPr>
          <w:rStyle w:val="FontStyle14"/>
          <w:b w:val="0"/>
          <w:bCs/>
          <w:sz w:val="24"/>
          <w:lang w:val="uk-UA" w:eastAsia="uk-UA"/>
        </w:rPr>
        <w:t>о січень 2024 року на території м. Ромни:</w:t>
      </w:r>
    </w:p>
    <w:p w:rsidR="00132FCF" w:rsidRDefault="00132FCF" w:rsidP="00132FCF">
      <w:pPr>
        <w:pStyle w:val="Style6"/>
        <w:widowControl/>
        <w:tabs>
          <w:tab w:val="left" w:pos="350"/>
        </w:tabs>
        <w:spacing w:before="43" w:line="276" w:lineRule="auto"/>
        <w:ind w:firstLine="0"/>
        <w:rPr>
          <w:rStyle w:val="FontStyle14"/>
          <w:b w:val="0"/>
          <w:bCs/>
          <w:sz w:val="24"/>
          <w:lang w:val="uk-UA" w:eastAsia="uk-UA"/>
        </w:rPr>
      </w:pPr>
      <w:r>
        <w:rPr>
          <w:rStyle w:val="FontStyle14"/>
          <w:b w:val="0"/>
          <w:bCs/>
          <w:sz w:val="24"/>
          <w:lang w:val="uk-UA" w:eastAsia="uk-UA"/>
        </w:rPr>
        <w:t>1) отримано  зверне</w:t>
      </w:r>
      <w:r w:rsidR="00EF2E24">
        <w:rPr>
          <w:rStyle w:val="FontStyle14"/>
          <w:b w:val="0"/>
          <w:bCs/>
          <w:sz w:val="24"/>
          <w:lang w:val="uk-UA" w:eastAsia="uk-UA"/>
        </w:rPr>
        <w:t>ння з питання розміщення ТС – 35</w:t>
      </w:r>
      <w:r>
        <w:rPr>
          <w:rStyle w:val="FontStyle14"/>
          <w:b w:val="0"/>
          <w:bCs/>
          <w:sz w:val="24"/>
          <w:lang w:val="uk-UA" w:eastAsia="uk-UA"/>
        </w:rPr>
        <w:t xml:space="preserve"> од. ;</w:t>
      </w:r>
    </w:p>
    <w:p w:rsidR="00132FCF" w:rsidRDefault="00132FCF" w:rsidP="00532509">
      <w:pPr>
        <w:pStyle w:val="1"/>
        <w:rPr>
          <w:rStyle w:val="FontStyle14"/>
          <w:color w:val="auto"/>
          <w:sz w:val="24"/>
          <w:lang w:val="uk-UA" w:eastAsia="uk-UA"/>
        </w:rPr>
      </w:pPr>
      <w:r>
        <w:rPr>
          <w:rStyle w:val="FontStyle14"/>
          <w:sz w:val="24"/>
          <w:lang w:val="uk-UA" w:eastAsia="uk-UA"/>
        </w:rPr>
        <w:lastRenderedPageBreak/>
        <w:t>2</w:t>
      </w:r>
      <w:r w:rsidR="00EF2E24" w:rsidRPr="00232B14">
        <w:rPr>
          <w:rStyle w:val="FontStyle14"/>
          <w:b/>
          <w:bCs w:val="0"/>
          <w:color w:val="auto"/>
          <w:sz w:val="24"/>
          <w:lang w:val="uk-UA" w:eastAsia="uk-UA"/>
        </w:rPr>
        <w:t xml:space="preserve">) </w:t>
      </w:r>
      <w:r w:rsidR="00EF2E24" w:rsidRPr="00232B14">
        <w:rPr>
          <w:rStyle w:val="FontStyle14"/>
          <w:bCs w:val="0"/>
          <w:color w:val="auto"/>
          <w:sz w:val="24"/>
          <w:lang w:val="uk-UA" w:eastAsia="uk-UA"/>
        </w:rPr>
        <w:t>видано паспортів прив’язки</w:t>
      </w:r>
      <w:r w:rsidR="00EF2E24" w:rsidRPr="00232B14">
        <w:rPr>
          <w:rStyle w:val="FontStyle14"/>
          <w:b/>
          <w:bCs w:val="0"/>
          <w:color w:val="auto"/>
          <w:sz w:val="24"/>
          <w:lang w:val="uk-UA" w:eastAsia="uk-UA"/>
        </w:rPr>
        <w:t xml:space="preserve"> –</w:t>
      </w:r>
      <w:r w:rsidR="00232B14">
        <w:rPr>
          <w:rStyle w:val="FontStyle14"/>
          <w:b/>
          <w:bCs w:val="0"/>
          <w:color w:val="auto"/>
          <w:sz w:val="24"/>
          <w:lang w:val="uk-UA" w:eastAsia="uk-UA"/>
        </w:rPr>
        <w:t xml:space="preserve"> </w:t>
      </w:r>
      <w:r w:rsidR="00EF2E24" w:rsidRPr="00232B14">
        <w:rPr>
          <w:rStyle w:val="FontStyle14"/>
          <w:b/>
          <w:bCs w:val="0"/>
          <w:color w:val="auto"/>
          <w:sz w:val="24"/>
          <w:lang w:val="uk-UA" w:eastAsia="uk-UA"/>
        </w:rPr>
        <w:t>17</w:t>
      </w:r>
      <w:r w:rsidRPr="00232B14">
        <w:rPr>
          <w:rStyle w:val="FontStyle14"/>
          <w:color w:val="auto"/>
          <w:sz w:val="24"/>
          <w:lang w:val="uk-UA" w:eastAsia="uk-UA"/>
        </w:rPr>
        <w:t xml:space="preserve"> од. ;</w:t>
      </w:r>
    </w:p>
    <w:p w:rsidR="002251D0" w:rsidRPr="002251D0" w:rsidRDefault="002251D0" w:rsidP="002251D0">
      <w:pPr>
        <w:rPr>
          <w:lang w:val="uk-UA" w:eastAsia="uk-UA"/>
        </w:rPr>
      </w:pPr>
    </w:p>
    <w:p w:rsidR="00A570CC" w:rsidRDefault="00132FCF" w:rsidP="00A570CC">
      <w:pPr>
        <w:pStyle w:val="Style5"/>
        <w:widowControl/>
        <w:spacing w:before="24" w:line="276" w:lineRule="auto"/>
        <w:rPr>
          <w:b/>
          <w:color w:val="333333"/>
          <w:shd w:val="clear" w:color="auto" w:fill="FFFFFF"/>
          <w:lang w:val="uk-UA"/>
        </w:rPr>
      </w:pPr>
      <w:r>
        <w:rPr>
          <w:rStyle w:val="FontStyle14"/>
          <w:bCs/>
          <w:sz w:val="24"/>
          <w:lang w:val="uk-UA" w:eastAsia="uk-UA"/>
        </w:rPr>
        <w:t>9. Оцінка можливих результатів реалізації регуляторного акта та сту</w:t>
      </w:r>
      <w:r w:rsidR="00A570CC">
        <w:rPr>
          <w:rStyle w:val="FontStyle14"/>
          <w:bCs/>
          <w:sz w:val="24"/>
          <w:lang w:val="uk-UA" w:eastAsia="uk-UA"/>
        </w:rPr>
        <w:t>пеня досягнення визначеної мети</w:t>
      </w:r>
      <w:r w:rsidR="00A570CC" w:rsidRPr="00A570CC">
        <w:rPr>
          <w:b/>
          <w:color w:val="333333"/>
          <w:shd w:val="clear" w:color="auto" w:fill="FFFFFF"/>
          <w:lang w:val="uk-UA"/>
        </w:rPr>
        <w:t>}</w:t>
      </w:r>
    </w:p>
    <w:p w:rsidR="00132FCF" w:rsidRPr="00132FCF" w:rsidRDefault="00A570CC" w:rsidP="00B0004A">
      <w:pPr>
        <w:pStyle w:val="Style5"/>
        <w:widowControl/>
        <w:spacing w:before="24" w:line="276" w:lineRule="auto"/>
        <w:rPr>
          <w:rStyle w:val="FontStyle12"/>
          <w:b w:val="0"/>
          <w:iCs/>
          <w:sz w:val="24"/>
          <w:lang w:val="uk-UA"/>
        </w:rPr>
      </w:pPr>
      <w:r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2251D0">
        <w:rPr>
          <w:rStyle w:val="FontStyle11"/>
          <w:b w:val="0"/>
          <w:bCs/>
          <w:sz w:val="24"/>
          <w:lang w:val="uk-UA" w:eastAsia="uk-UA"/>
        </w:rPr>
        <w:t xml:space="preserve">          </w:t>
      </w:r>
      <w:r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E07EF5">
        <w:rPr>
          <w:rStyle w:val="FontStyle11"/>
          <w:b w:val="0"/>
          <w:bCs/>
          <w:sz w:val="24"/>
          <w:lang w:val="uk-UA" w:eastAsia="uk-UA"/>
        </w:rPr>
        <w:t>Мі</w:t>
      </w:r>
      <w:r>
        <w:rPr>
          <w:rStyle w:val="FontStyle11"/>
          <w:b w:val="0"/>
          <w:bCs/>
          <w:sz w:val="24"/>
          <w:lang w:val="uk-UA" w:eastAsia="uk-UA"/>
        </w:rPr>
        <w:t>ністерством регіонального розвитку, будівництва та житлово</w:t>
      </w:r>
      <w:r w:rsidR="00B0004A">
        <w:rPr>
          <w:rStyle w:val="FontStyle11"/>
          <w:b w:val="0"/>
          <w:bCs/>
          <w:sz w:val="24"/>
          <w:lang w:val="uk-UA" w:eastAsia="uk-UA"/>
        </w:rPr>
        <w:t>-</w:t>
      </w:r>
      <w:r>
        <w:rPr>
          <w:rStyle w:val="FontStyle11"/>
          <w:b w:val="0"/>
          <w:bCs/>
          <w:sz w:val="24"/>
          <w:lang w:val="uk-UA" w:eastAsia="uk-UA"/>
        </w:rPr>
        <w:t>комунального господарства прийнято № 244 від 21 жовтня</w:t>
      </w:r>
      <w:r w:rsidR="00B0004A"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B0004A" w:rsidRPr="00B0004A">
        <w:rPr>
          <w:rStyle w:val="FontStyle11"/>
          <w:b w:val="0"/>
          <w:bCs/>
          <w:sz w:val="24"/>
          <w:lang w:val="uk-UA" w:eastAsia="uk-UA"/>
        </w:rPr>
        <w:t>2011</w:t>
      </w:r>
      <w:r w:rsidR="00B0004A" w:rsidRPr="00B0004A">
        <w:rPr>
          <w:rStyle w:val="FontStyle11"/>
          <w:bCs/>
          <w:sz w:val="24"/>
          <w:lang w:val="uk-UA" w:eastAsia="uk-UA"/>
        </w:rPr>
        <w:t xml:space="preserve"> </w:t>
      </w:r>
      <w:r w:rsidR="00B0004A">
        <w:rPr>
          <w:rStyle w:val="FontStyle11"/>
          <w:b w:val="0"/>
          <w:bCs/>
          <w:sz w:val="24"/>
          <w:lang w:val="uk-UA" w:eastAsia="uk-UA"/>
        </w:rPr>
        <w:t>«Про  порядок</w:t>
      </w:r>
      <w:r w:rsidR="00B0004A" w:rsidRPr="00132FCF">
        <w:rPr>
          <w:rStyle w:val="FontStyle11"/>
          <w:b w:val="0"/>
          <w:bCs/>
          <w:sz w:val="24"/>
          <w:lang w:val="uk-UA" w:eastAsia="uk-UA"/>
        </w:rPr>
        <w:t xml:space="preserve"> розміщення тимчасових споруд для провадження підприємницької діяльності</w:t>
      </w:r>
      <w:r w:rsidR="00B0004A">
        <w:rPr>
          <w:rStyle w:val="FontStyle11"/>
          <w:b w:val="0"/>
          <w:bCs/>
          <w:sz w:val="24"/>
          <w:lang w:val="uk-UA" w:eastAsia="uk-UA"/>
        </w:rPr>
        <w:t>»</w:t>
      </w:r>
      <w:r w:rsidR="00B0004A" w:rsidRPr="00132FCF"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B0004A" w:rsidRPr="00B0004A">
        <w:rPr>
          <w:color w:val="333333"/>
          <w:shd w:val="clear" w:color="auto" w:fill="FFFFFF"/>
          <w:lang w:val="uk-UA"/>
        </w:rPr>
        <w:t>(</w:t>
      </w:r>
      <w:r w:rsidR="00B0004A">
        <w:rPr>
          <w:color w:val="333333"/>
          <w:shd w:val="clear" w:color="auto" w:fill="FFFFFF"/>
          <w:lang w:val="uk-UA"/>
        </w:rPr>
        <w:t>і</w:t>
      </w:r>
      <w:r w:rsidRPr="00B0004A">
        <w:rPr>
          <w:color w:val="333333"/>
          <w:shd w:val="clear" w:color="auto" w:fill="FFFFFF"/>
          <w:lang w:val="uk-UA"/>
        </w:rPr>
        <w:t>з змінами, внесеними згідно з Наказом Міністерства розвитку</w:t>
      </w:r>
      <w:r w:rsidRPr="00B0004A">
        <w:rPr>
          <w:b/>
          <w:color w:val="333333"/>
          <w:shd w:val="clear" w:color="auto" w:fill="FFFFFF"/>
          <w:lang w:val="uk-UA"/>
        </w:rPr>
        <w:t xml:space="preserve"> </w:t>
      </w:r>
      <w:r w:rsidRPr="00B0004A">
        <w:rPr>
          <w:color w:val="333333"/>
          <w:shd w:val="clear" w:color="auto" w:fill="FFFFFF"/>
          <w:lang w:val="uk-UA"/>
        </w:rPr>
        <w:t>громад</w:t>
      </w:r>
      <w:r w:rsidRPr="00A570CC">
        <w:rPr>
          <w:color w:val="333333"/>
          <w:shd w:val="clear" w:color="auto" w:fill="FFFFFF"/>
          <w:lang w:val="uk-UA"/>
        </w:rPr>
        <w:t xml:space="preserve"> та територій</w:t>
      </w:r>
      <w:r w:rsidRPr="00A570CC">
        <w:rPr>
          <w:color w:val="333333"/>
          <w:lang w:val="uk-UA"/>
        </w:rPr>
        <w:br/>
      </w:r>
      <w:hyperlink r:id="rId7" w:anchor="n2" w:tgtFrame="_blank" w:history="1">
        <w:r w:rsidRPr="00A570CC">
          <w:rPr>
            <w:rStyle w:val="a3"/>
            <w:color w:val="000099"/>
            <w:shd w:val="clear" w:color="auto" w:fill="FFFFFF"/>
            <w:lang w:val="uk-UA"/>
          </w:rPr>
          <w:t>№ 284 від 23.11.2020</w:t>
        </w:r>
      </w:hyperlink>
      <w:r w:rsidR="00B0004A">
        <w:rPr>
          <w:rStyle w:val="FontStyle14"/>
          <w:bCs/>
          <w:sz w:val="24"/>
          <w:lang w:val="uk-UA" w:eastAsia="uk-UA"/>
        </w:rPr>
        <w:t>)</w:t>
      </w:r>
      <w:r w:rsidR="00B0004A">
        <w:rPr>
          <w:rStyle w:val="FontStyle11"/>
          <w:b w:val="0"/>
          <w:bCs/>
          <w:sz w:val="24"/>
          <w:lang w:val="uk-UA" w:eastAsia="uk-UA"/>
        </w:rPr>
        <w:t>. Оскільки відділ</w:t>
      </w:r>
      <w:r w:rsidR="00E07EF5"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B0004A">
        <w:rPr>
          <w:rStyle w:val="FontStyle11"/>
          <w:b w:val="0"/>
          <w:bCs/>
          <w:sz w:val="24"/>
          <w:lang w:val="uk-UA" w:eastAsia="uk-UA"/>
        </w:rPr>
        <w:t>містобудування та архітектури</w:t>
      </w:r>
      <w:r w:rsidR="00E07EF5">
        <w:rPr>
          <w:rStyle w:val="FontStyle11"/>
          <w:b w:val="0"/>
          <w:bCs/>
          <w:sz w:val="24"/>
          <w:lang w:val="uk-UA" w:eastAsia="uk-UA"/>
        </w:rPr>
        <w:t xml:space="preserve"> наразі керується </w:t>
      </w:r>
      <w:r w:rsidR="002251D0">
        <w:rPr>
          <w:rStyle w:val="FontStyle11"/>
          <w:b w:val="0"/>
          <w:bCs/>
          <w:sz w:val="24"/>
          <w:lang w:val="uk-UA" w:eastAsia="uk-UA"/>
        </w:rPr>
        <w:t xml:space="preserve"> у своїй діяльності </w:t>
      </w:r>
      <w:r w:rsidR="00132FCF"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B0004A">
        <w:rPr>
          <w:rStyle w:val="FontStyle11"/>
          <w:b w:val="0"/>
          <w:bCs/>
          <w:sz w:val="24"/>
          <w:lang w:val="uk-UA" w:eastAsia="uk-UA"/>
        </w:rPr>
        <w:t>вищевказан</w:t>
      </w:r>
      <w:r w:rsidR="002251D0">
        <w:rPr>
          <w:rStyle w:val="FontStyle11"/>
          <w:b w:val="0"/>
          <w:bCs/>
          <w:sz w:val="24"/>
          <w:lang w:val="uk-UA" w:eastAsia="uk-UA"/>
        </w:rPr>
        <w:t>им наказом, який</w:t>
      </w:r>
      <w:r w:rsidR="00B0004A">
        <w:rPr>
          <w:rStyle w:val="FontStyle11"/>
          <w:b w:val="0"/>
          <w:bCs/>
          <w:sz w:val="24"/>
          <w:lang w:val="uk-UA" w:eastAsia="uk-UA"/>
        </w:rPr>
        <w:t xml:space="preserve"> дублює</w:t>
      </w:r>
      <w:r w:rsidR="002251D0">
        <w:rPr>
          <w:rStyle w:val="FontStyle11"/>
          <w:b w:val="0"/>
          <w:bCs/>
          <w:sz w:val="24"/>
          <w:lang w:val="uk-UA" w:eastAsia="uk-UA"/>
        </w:rPr>
        <w:t xml:space="preserve"> регуляторний </w:t>
      </w:r>
      <w:r w:rsidR="00B0004A">
        <w:rPr>
          <w:rStyle w:val="FontStyle11"/>
          <w:b w:val="0"/>
          <w:bCs/>
          <w:sz w:val="24"/>
          <w:lang w:val="uk-UA" w:eastAsia="uk-UA"/>
        </w:rPr>
        <w:t xml:space="preserve"> </w:t>
      </w:r>
      <w:r w:rsidR="002251D0">
        <w:rPr>
          <w:rStyle w:val="FontStyle11"/>
          <w:b w:val="0"/>
          <w:bCs/>
          <w:sz w:val="24"/>
          <w:lang w:val="uk-UA" w:eastAsia="uk-UA"/>
        </w:rPr>
        <w:t xml:space="preserve">акт </w:t>
      </w:r>
      <w:r w:rsidR="00E07EF5">
        <w:rPr>
          <w:rStyle w:val="FontStyle11"/>
          <w:b w:val="0"/>
          <w:bCs/>
          <w:sz w:val="24"/>
          <w:lang w:val="uk-UA" w:eastAsia="uk-UA"/>
        </w:rPr>
        <w:t>пропонується  да</w:t>
      </w:r>
      <w:r>
        <w:rPr>
          <w:rStyle w:val="FontStyle11"/>
          <w:b w:val="0"/>
          <w:bCs/>
          <w:sz w:val="24"/>
          <w:lang w:val="uk-UA" w:eastAsia="uk-UA"/>
        </w:rPr>
        <w:t xml:space="preserve">ний регуляторний акт скасувати </w:t>
      </w:r>
      <w:r w:rsidR="002251D0">
        <w:rPr>
          <w:rStyle w:val="FontStyle11"/>
          <w:b w:val="0"/>
          <w:bCs/>
          <w:sz w:val="24"/>
          <w:lang w:val="uk-UA" w:eastAsia="uk-UA"/>
        </w:rPr>
        <w:t>в установленому законом порядку.</w:t>
      </w:r>
      <w:r w:rsidR="00A00651">
        <w:rPr>
          <w:rStyle w:val="FontStyle11"/>
          <w:b w:val="0"/>
          <w:bCs/>
          <w:sz w:val="24"/>
          <w:lang w:val="uk-UA" w:eastAsia="uk-UA"/>
        </w:rPr>
        <w:t xml:space="preserve"> </w:t>
      </w:r>
    </w:p>
    <w:p w:rsidR="00132FCF" w:rsidRPr="00132FCF" w:rsidRDefault="00132FCF" w:rsidP="00E07EF5">
      <w:pPr>
        <w:pStyle w:val="Style1"/>
        <w:widowControl/>
        <w:spacing w:before="67" w:line="322" w:lineRule="exact"/>
        <w:ind w:firstLine="0"/>
        <w:jc w:val="both"/>
        <w:rPr>
          <w:lang w:val="uk-UA"/>
        </w:rPr>
      </w:pPr>
    </w:p>
    <w:p w:rsidR="00132FCF" w:rsidRPr="00132FCF" w:rsidRDefault="00132FCF" w:rsidP="00132FCF">
      <w:pPr>
        <w:pStyle w:val="Style1"/>
        <w:widowControl/>
        <w:spacing w:before="67" w:line="322" w:lineRule="exact"/>
        <w:ind w:firstLine="0"/>
        <w:jc w:val="center"/>
        <w:rPr>
          <w:rStyle w:val="FontStyle12"/>
          <w:b w:val="0"/>
          <w:iCs/>
          <w:sz w:val="24"/>
          <w:lang w:val="uk-UA"/>
        </w:rPr>
      </w:pPr>
    </w:p>
    <w:p w:rsidR="00132FCF" w:rsidRPr="00132FCF" w:rsidRDefault="00132FCF" w:rsidP="00132FCF">
      <w:pPr>
        <w:pStyle w:val="Style1"/>
        <w:widowControl/>
        <w:spacing w:before="67" w:line="322" w:lineRule="exact"/>
        <w:ind w:firstLine="0"/>
        <w:jc w:val="center"/>
        <w:rPr>
          <w:b/>
          <w:lang w:val="uk-UA"/>
        </w:rPr>
      </w:pPr>
    </w:p>
    <w:p w:rsidR="00132FCF" w:rsidRDefault="00132FCF" w:rsidP="00132FCF">
      <w:pPr>
        <w:spacing w:line="276" w:lineRule="auto"/>
        <w:rPr>
          <w:rStyle w:val="FontStyle13"/>
          <w:b/>
          <w:sz w:val="24"/>
          <w:lang w:val="uk-UA" w:eastAsia="uk-UA"/>
        </w:rPr>
      </w:pPr>
      <w:r>
        <w:rPr>
          <w:rStyle w:val="FontStyle13"/>
          <w:b/>
          <w:sz w:val="24"/>
          <w:lang w:val="uk-UA" w:eastAsia="uk-UA"/>
        </w:rPr>
        <w:t xml:space="preserve">Начальник відділу містобудування та архітектури, </w:t>
      </w:r>
    </w:p>
    <w:p w:rsidR="00132FCF" w:rsidRPr="00132FCF" w:rsidRDefault="00132FCF" w:rsidP="00132FCF">
      <w:pPr>
        <w:rPr>
          <w:lang w:val="ru-RU"/>
        </w:rPr>
      </w:pPr>
      <w:r>
        <w:rPr>
          <w:rStyle w:val="FontStyle13"/>
          <w:b/>
          <w:sz w:val="24"/>
          <w:lang w:val="uk-UA" w:eastAsia="uk-UA"/>
        </w:rPr>
        <w:t>головний архіт</w:t>
      </w:r>
      <w:r w:rsidR="00E07EF5">
        <w:rPr>
          <w:rStyle w:val="FontStyle13"/>
          <w:b/>
          <w:sz w:val="24"/>
          <w:lang w:val="uk-UA" w:eastAsia="uk-UA"/>
        </w:rPr>
        <w:t>ектор міста</w:t>
      </w:r>
      <w:r w:rsidR="00E07EF5">
        <w:rPr>
          <w:rStyle w:val="FontStyle13"/>
          <w:b/>
          <w:sz w:val="24"/>
          <w:lang w:val="uk-UA" w:eastAsia="uk-UA"/>
        </w:rPr>
        <w:tab/>
      </w:r>
      <w:r w:rsidR="00E07EF5">
        <w:rPr>
          <w:rStyle w:val="FontStyle13"/>
          <w:b/>
          <w:sz w:val="24"/>
          <w:lang w:val="uk-UA" w:eastAsia="uk-UA"/>
        </w:rPr>
        <w:tab/>
      </w:r>
      <w:r w:rsidR="00E07EF5">
        <w:rPr>
          <w:rStyle w:val="FontStyle13"/>
          <w:b/>
          <w:sz w:val="24"/>
          <w:lang w:val="uk-UA" w:eastAsia="uk-UA"/>
        </w:rPr>
        <w:tab/>
        <w:t xml:space="preserve">                       Юрій ЛИТВИНЕНКО</w:t>
      </w:r>
    </w:p>
    <w:p w:rsidR="00132FCF" w:rsidRPr="00132FCF" w:rsidRDefault="00132FCF" w:rsidP="00132FCF">
      <w:pPr>
        <w:rPr>
          <w:rStyle w:val="FontStyle13"/>
          <w:sz w:val="24"/>
          <w:lang w:val="ru-RU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132FCF" w:rsidRDefault="00132FCF" w:rsidP="00132FCF">
      <w:pPr>
        <w:rPr>
          <w:rStyle w:val="FontStyle13"/>
          <w:sz w:val="24"/>
          <w:lang w:val="uk-UA" w:eastAsia="uk-UA"/>
        </w:rPr>
      </w:pPr>
    </w:p>
    <w:p w:rsidR="00726D7A" w:rsidRPr="00132FCF" w:rsidRDefault="00726D7A">
      <w:pPr>
        <w:rPr>
          <w:lang w:val="uk-UA"/>
        </w:rPr>
      </w:pPr>
    </w:p>
    <w:sectPr w:rsidR="00726D7A" w:rsidRPr="0013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0E9"/>
    <w:multiLevelType w:val="hybridMultilevel"/>
    <w:tmpl w:val="0F7C654C"/>
    <w:lvl w:ilvl="0" w:tplc="1E5619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F0"/>
    <w:rsid w:val="000D24B9"/>
    <w:rsid w:val="00132FCF"/>
    <w:rsid w:val="00186FF0"/>
    <w:rsid w:val="002251D0"/>
    <w:rsid w:val="00232B14"/>
    <w:rsid w:val="002C220E"/>
    <w:rsid w:val="00532509"/>
    <w:rsid w:val="006E6408"/>
    <w:rsid w:val="00726D7A"/>
    <w:rsid w:val="00774213"/>
    <w:rsid w:val="00A00651"/>
    <w:rsid w:val="00A570CC"/>
    <w:rsid w:val="00B0004A"/>
    <w:rsid w:val="00E07EF5"/>
    <w:rsid w:val="00E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2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2FCF"/>
    <w:pPr>
      <w:widowControl w:val="0"/>
      <w:autoSpaceDE w:val="0"/>
      <w:autoSpaceDN w:val="0"/>
      <w:adjustRightInd w:val="0"/>
      <w:spacing w:line="326" w:lineRule="exact"/>
      <w:ind w:firstLine="2981"/>
    </w:pPr>
    <w:rPr>
      <w:rFonts w:ascii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132FCF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132F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132FCF"/>
    <w:pPr>
      <w:widowControl w:val="0"/>
      <w:autoSpaceDE w:val="0"/>
      <w:autoSpaceDN w:val="0"/>
      <w:adjustRightInd w:val="0"/>
      <w:spacing w:line="274" w:lineRule="exact"/>
      <w:ind w:hanging="350"/>
    </w:pPr>
    <w:rPr>
      <w:rFonts w:ascii="Times New Roman" w:hAnsi="Times New Roman"/>
      <w:lang w:val="ru-RU" w:eastAsia="ru-RU"/>
    </w:rPr>
  </w:style>
  <w:style w:type="character" w:customStyle="1" w:styleId="FontStyle11">
    <w:name w:val="Font Style11"/>
    <w:uiPriority w:val="99"/>
    <w:rsid w:val="00132FC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2">
    <w:name w:val="Font Style12"/>
    <w:uiPriority w:val="99"/>
    <w:rsid w:val="00132FC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uiPriority w:val="99"/>
    <w:rsid w:val="00132FC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uiPriority w:val="99"/>
    <w:rsid w:val="00132FCF"/>
    <w:rPr>
      <w:rFonts w:ascii="Times New Roman" w:hAnsi="Times New Roman" w:cs="Times New Roman" w:hint="default"/>
      <w:b/>
      <w:bCs w:val="0"/>
      <w:sz w:val="22"/>
    </w:rPr>
  </w:style>
  <w:style w:type="character" w:customStyle="1" w:styleId="10">
    <w:name w:val="Заголовок 1 Знак"/>
    <w:basedOn w:val="a0"/>
    <w:link w:val="1"/>
    <w:uiPriority w:val="9"/>
    <w:rsid w:val="0053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A57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2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2FCF"/>
    <w:pPr>
      <w:widowControl w:val="0"/>
      <w:autoSpaceDE w:val="0"/>
      <w:autoSpaceDN w:val="0"/>
      <w:adjustRightInd w:val="0"/>
      <w:spacing w:line="326" w:lineRule="exact"/>
      <w:ind w:firstLine="2981"/>
    </w:pPr>
    <w:rPr>
      <w:rFonts w:ascii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132FCF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132F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/>
    </w:rPr>
  </w:style>
  <w:style w:type="paragraph" w:customStyle="1" w:styleId="Style6">
    <w:name w:val="Style6"/>
    <w:basedOn w:val="a"/>
    <w:uiPriority w:val="99"/>
    <w:rsid w:val="00132FCF"/>
    <w:pPr>
      <w:widowControl w:val="0"/>
      <w:autoSpaceDE w:val="0"/>
      <w:autoSpaceDN w:val="0"/>
      <w:adjustRightInd w:val="0"/>
      <w:spacing w:line="274" w:lineRule="exact"/>
      <w:ind w:hanging="350"/>
    </w:pPr>
    <w:rPr>
      <w:rFonts w:ascii="Times New Roman" w:hAnsi="Times New Roman"/>
      <w:lang w:val="ru-RU" w:eastAsia="ru-RU"/>
    </w:rPr>
  </w:style>
  <w:style w:type="character" w:customStyle="1" w:styleId="FontStyle11">
    <w:name w:val="Font Style11"/>
    <w:uiPriority w:val="99"/>
    <w:rsid w:val="00132FC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2">
    <w:name w:val="Font Style12"/>
    <w:uiPriority w:val="99"/>
    <w:rsid w:val="00132FC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uiPriority w:val="99"/>
    <w:rsid w:val="00132FC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uiPriority w:val="99"/>
    <w:rsid w:val="00132FCF"/>
    <w:rPr>
      <w:rFonts w:ascii="Times New Roman" w:hAnsi="Times New Roman" w:cs="Times New Roman" w:hint="default"/>
      <w:b/>
      <w:bCs w:val="0"/>
      <w:sz w:val="22"/>
    </w:rPr>
  </w:style>
  <w:style w:type="character" w:customStyle="1" w:styleId="10">
    <w:name w:val="Заголовок 1 Знак"/>
    <w:basedOn w:val="a0"/>
    <w:link w:val="1"/>
    <w:uiPriority w:val="9"/>
    <w:rsid w:val="0053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A57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105-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3858-A1DB-43D6-A2E3-D378B846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2024-04-08T13:14:00Z</cp:lastPrinted>
  <dcterms:created xsi:type="dcterms:W3CDTF">2024-04-04T14:24:00Z</dcterms:created>
  <dcterms:modified xsi:type="dcterms:W3CDTF">2024-04-15T14:12:00Z</dcterms:modified>
</cp:coreProperties>
</file>