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E8" w:rsidRPr="004B38DC" w:rsidRDefault="005677E7" w:rsidP="001714E8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E8" w:rsidRPr="004B38DC" w:rsidRDefault="005677E7" w:rsidP="00E655F4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1714E8" w:rsidRPr="004B38DC" w:rsidRDefault="005677E7" w:rsidP="00E655F4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:rsidR="00C93765" w:rsidRPr="005B0CF4" w:rsidRDefault="00BA168C" w:rsidP="00C93765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>СІМДЕСЯТ ДЕВ’ЯТА</w:t>
      </w:r>
      <w:r w:rsidR="005677E7"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СЕСІЯ</w:t>
      </w:r>
    </w:p>
    <w:p w:rsidR="001714E8" w:rsidRPr="004E1F8A" w:rsidRDefault="005677E7" w:rsidP="00E655F4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p w:rsidR="001714E8" w:rsidRPr="005C134A" w:rsidRDefault="001714E8" w:rsidP="00E655F4">
      <w:pPr>
        <w:spacing w:after="0"/>
        <w:ind w:leftChars="0" w:left="0" w:firstLineChars="0" w:firstLine="0"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43F3" w:rsidTr="001714E8">
        <w:tc>
          <w:tcPr>
            <w:tcW w:w="3190" w:type="dxa"/>
            <w:hideMark/>
          </w:tcPr>
          <w:p w:rsidR="001714E8" w:rsidRPr="00840ED0" w:rsidRDefault="00C72056" w:rsidP="00DB0C23">
            <w:pPr>
              <w:spacing w:after="120"/>
              <w:ind w:leftChars="0" w:left="-105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25</w:t>
            </w:r>
            <w:r w:rsidR="00595A3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</w:t>
            </w:r>
            <w:r w:rsidR="00BA168C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09</w:t>
            </w:r>
            <w:r w:rsidR="005677E7"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 w:rsidR="00C93765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4</w:t>
            </w:r>
          </w:p>
        </w:tc>
        <w:tc>
          <w:tcPr>
            <w:tcW w:w="3190" w:type="dxa"/>
            <w:hideMark/>
          </w:tcPr>
          <w:p w:rsidR="001714E8" w:rsidRPr="004B38DC" w:rsidRDefault="00376CDA" w:rsidP="00E655F4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ahoma"/>
                <w:b/>
                <w:sz w:val="24"/>
                <w:lang w:val="uk-UA" w:eastAsia="en-US"/>
              </w:rPr>
              <w:t xml:space="preserve">    </w:t>
            </w:r>
            <w:r w:rsidR="005677E7"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1714E8" w:rsidRPr="004B38DC" w:rsidRDefault="001714E8" w:rsidP="00E655F4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376236" w:rsidRPr="00376236" w:rsidRDefault="005677E7" w:rsidP="00DB0C23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 </w:t>
      </w:r>
      <w:proofErr w:type="spellStart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внесення</w:t>
      </w:r>
      <w:proofErr w:type="spellEnd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змін</w:t>
      </w:r>
      <w:proofErr w:type="spellEnd"/>
      <w:r w:rsidRPr="003762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</w:t>
      </w:r>
      <w:r w:rsidR="00C93765" w:rsidRPr="00C93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</w:p>
    <w:p w:rsidR="00275F56" w:rsidRPr="00275F56" w:rsidRDefault="00275F56" w:rsidP="0027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59" w:lineRule="auto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275F56"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en-US"/>
        </w:rPr>
        <w:t>пункту 5</w:t>
      </w:r>
      <w:r w:rsidRPr="00275F56">
        <w:rPr>
          <w:rFonts w:ascii="Times New Roman" w:eastAsia="Times New Roman" w:hAnsi="Times New Roman" w:cs="Times New Roman"/>
          <w:position w:val="0"/>
          <w:sz w:val="24"/>
          <w:szCs w:val="24"/>
          <w:vertAlign w:val="superscript"/>
          <w:lang w:val="uk-UA" w:eastAsia="en-US"/>
        </w:rPr>
        <w:t>2</w:t>
      </w:r>
      <w:r w:rsidRPr="00275F56">
        <w:rPr>
          <w:rFonts w:ascii="Times New Roman" w:eastAsia="Times New Roman" w:hAnsi="Times New Roman" w:cs="Times New Roman"/>
          <w:position w:val="0"/>
          <w:sz w:val="24"/>
          <w:szCs w:val="24"/>
          <w:lang w:val="uk-UA" w:eastAsia="en-US"/>
        </w:rPr>
        <w:t xml:space="preserve"> статті 26 </w:t>
      </w:r>
      <w:r w:rsidRPr="00275F56">
        <w:rPr>
          <w:rFonts w:ascii="Times New Roman" w:hAnsi="Times New Roman" w:cs="Times New Roman"/>
          <w:position w:val="0"/>
          <w:sz w:val="24"/>
          <w:szCs w:val="24"/>
          <w:lang w:val="uk-UA" w:eastAsia="en-US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</w:t>
      </w:r>
      <w:r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враховуючи лист директора Комунального підприємства «Комбінат Комунальних підприємств» Роменської міської ради від 12.09.2024 № 557, протокол</w:t>
      </w:r>
      <w:r w:rsidR="000A119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и</w:t>
      </w:r>
      <w:r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засідання наглядової ради КП «ККП» РМР від</w:t>
      </w:r>
      <w:r w:rsidR="000A119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14.12.2023 №3 та</w:t>
      </w:r>
      <w:r w:rsidRPr="00275F5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18.09.2024 № 4,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376236" w:rsidRPr="00376236" w:rsidRDefault="005677E7" w:rsidP="00E6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37623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МІСЬКА РАДА ВИРІШИЛА:</w:t>
      </w:r>
    </w:p>
    <w:p w:rsidR="00376236" w:rsidRPr="00376236" w:rsidRDefault="005677E7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proofErr w:type="spellStart"/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Внести</w:t>
      </w:r>
      <w:proofErr w:type="spellEnd"/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такі зміни до 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, затвердженої рішенням міської ради від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.0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4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(далі – Програма):</w:t>
      </w:r>
    </w:p>
    <w:p w:rsidR="00376236" w:rsidRPr="00376236" w:rsidRDefault="005677E7" w:rsidP="0037623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1) викласти Паспорт Програми у 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такій</w:t>
      </w:r>
      <w:r w:rsidRPr="0037623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1143F3" w:rsidTr="00C93765">
        <w:trPr>
          <w:trHeight w:val="322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Зміст</w:t>
            </w:r>
          </w:p>
        </w:tc>
      </w:tr>
      <w:tr w:rsidR="001143F3" w:rsidTr="00C93765">
        <w:trPr>
          <w:trHeight w:val="508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1143F3" w:rsidTr="00C93765">
        <w:trPr>
          <w:trHeight w:val="79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keepNext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1143F3" w:rsidTr="00C93765">
        <w:trPr>
          <w:trHeight w:val="525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1143F3" w:rsidTr="00C93765">
        <w:trPr>
          <w:trHeight w:val="130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022" w:type="dxa"/>
          </w:tcPr>
          <w:p w:rsidR="00C93765" w:rsidRPr="00C93765" w:rsidRDefault="005677E7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376236" w:rsidRPr="00376236" w:rsidRDefault="00C93765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1143F3" w:rsidTr="00C93765">
        <w:trPr>
          <w:trHeight w:val="322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376236" w:rsidRPr="00376236" w:rsidRDefault="005677E7" w:rsidP="00C93765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202</w:t>
            </w:r>
            <w:r w:rsidR="00C9376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4</w:t>
            </w: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143F3" w:rsidTr="00C93765">
        <w:trPr>
          <w:trHeight w:val="699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1143F3" w:rsidTr="00C93765">
        <w:trPr>
          <w:trHeight w:val="896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rFonts w:ascii="Times New Roman" w:eastAsia="Times New Roman" w:hAnsi="Times New Roman" w:cs="Times New Roman"/>
                <w:spacing w:val="-6"/>
                <w:position w:val="0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022" w:type="dxa"/>
          </w:tcPr>
          <w:p w:rsidR="00376236" w:rsidRPr="00682766" w:rsidRDefault="0037623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</w:p>
          <w:p w:rsidR="00376236" w:rsidRPr="00682766" w:rsidRDefault="000A1196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4 4</w:t>
            </w:r>
            <w:r w:rsidR="004C70EB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92,486</w:t>
            </w:r>
            <w:r w:rsidR="005D6E62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1AD6"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тиc</w:t>
            </w:r>
            <w:proofErr w:type="spellEnd"/>
            <w:r w:rsidR="004A1AD6" w:rsidRPr="0068276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. грн</w:t>
            </w:r>
          </w:p>
        </w:tc>
      </w:tr>
      <w:tr w:rsidR="001143F3" w:rsidTr="004A1AD6">
        <w:trPr>
          <w:trHeight w:val="557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suppressAutoHyphens w:val="0"/>
              <w:spacing w:after="0" w:line="240" w:lineRule="auto"/>
              <w:ind w:leftChars="0" w:left="23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376236" w:rsidRPr="00682766" w:rsidRDefault="000A1196" w:rsidP="004A1AD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4 4</w:t>
            </w:r>
            <w:r w:rsidR="004C70EB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92,486</w:t>
            </w:r>
            <w:r w:rsidR="00BA168C" w:rsidRPr="00BA168C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1AD6" w:rsidRP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тиc</w:t>
            </w:r>
            <w:proofErr w:type="spellEnd"/>
            <w:r w:rsidR="004A1AD6" w:rsidRPr="00682766">
              <w:rPr>
                <w:rFonts w:ascii="Times New Roman" w:eastAsia="Times New Roman" w:hAnsi="Times New Roman" w:cs="Times New Roman"/>
                <w:iCs/>
                <w:position w:val="0"/>
                <w:sz w:val="24"/>
                <w:szCs w:val="24"/>
                <w:lang w:val="uk-UA"/>
              </w:rPr>
              <w:t>. грн</w:t>
            </w:r>
          </w:p>
        </w:tc>
      </w:tr>
      <w:tr w:rsidR="001143F3" w:rsidTr="00C93765">
        <w:trPr>
          <w:trHeight w:val="143"/>
        </w:trPr>
        <w:tc>
          <w:tcPr>
            <w:tcW w:w="576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927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022" w:type="dxa"/>
          </w:tcPr>
          <w:p w:rsidR="00376236" w:rsidRPr="00376236" w:rsidRDefault="005677E7" w:rsidP="00376236">
            <w:pPr>
              <w:tabs>
                <w:tab w:val="left" w:pos="1080"/>
                <w:tab w:val="left" w:pos="3600"/>
              </w:tabs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</w:pPr>
            <w:r w:rsidRPr="00376236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5D6E62" w:rsidRDefault="005D6E62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376236" w:rsidRDefault="005677E7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2) викласти додаток «Перелік заходів та обсяги фінансування 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Програм</w:t>
      </w:r>
      <w:r w:rsid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="00C93765" w:rsidRPr="00C9376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фінансової підтримки Комунального підприємства «Комбінат Комунальних підприємств» Роменської міської ради» на 2024 рік</w:t>
      </w:r>
      <w:r w:rsidR="00E655F4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» </w:t>
      </w:r>
      <w:r w:rsidRPr="00376236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у новій редакції згідно з додатком до цього рішення.</w:t>
      </w:r>
    </w:p>
    <w:p w:rsidR="002B0CE4" w:rsidRDefault="002B0CE4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:rsidR="002B0CE4" w:rsidRDefault="002B0CE4" w:rsidP="002B0CE4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2B0CE4" w:rsidRPr="000446D9" w:rsidRDefault="005677E7" w:rsidP="002B0CE4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</w:r>
      <w:r w:rsidRPr="000446D9"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:rsidR="002B0CE4" w:rsidRPr="000446D9" w:rsidRDefault="002B0CE4" w:rsidP="002B0CE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B0CE4" w:rsidRPr="00376236" w:rsidRDefault="002B0CE4" w:rsidP="00376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highlight w:val="yellow"/>
          <w:lang w:val="uk-UA"/>
        </w:rPr>
      </w:pPr>
    </w:p>
    <w:p w:rsidR="00376236" w:rsidRPr="00376236" w:rsidRDefault="00376236" w:rsidP="00376236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376236" w:rsidRPr="00376236" w:rsidRDefault="00376236" w:rsidP="00376236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376236" w:rsidRPr="00376236" w:rsidRDefault="005677E7" w:rsidP="00E655F4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C72056">
        <w:rPr>
          <w:rFonts w:ascii="Times New Roman" w:eastAsia="Times New Roman" w:hAnsi="Times New Roman"/>
          <w:b/>
          <w:sz w:val="24"/>
          <w:szCs w:val="24"/>
          <w:lang w:val="uk-UA"/>
        </w:rPr>
        <w:t>25</w:t>
      </w:r>
      <w:r w:rsidR="00C93765">
        <w:rPr>
          <w:rFonts w:ascii="Times New Roman" w:eastAsia="Times New Roman" w:hAnsi="Times New Roman"/>
          <w:b/>
          <w:sz w:val="24"/>
          <w:szCs w:val="24"/>
          <w:lang w:val="uk-UA"/>
        </w:rPr>
        <w:t>.0</w:t>
      </w:r>
      <w:r w:rsidR="00033C87">
        <w:rPr>
          <w:rFonts w:ascii="Times New Roman" w:eastAsia="Times New Roman" w:hAnsi="Times New Roman"/>
          <w:b/>
          <w:sz w:val="24"/>
          <w:szCs w:val="24"/>
          <w:lang w:val="uk-UA"/>
        </w:rPr>
        <w:t>9</w:t>
      </w: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.202</w:t>
      </w:r>
      <w:r w:rsidR="00C93765">
        <w:rPr>
          <w:rFonts w:ascii="Times New Roman" w:eastAsia="Times New Roman" w:hAnsi="Times New Roman"/>
          <w:b/>
          <w:sz w:val="24"/>
          <w:szCs w:val="24"/>
          <w:lang w:val="uk-UA"/>
        </w:rPr>
        <w:t>4</w:t>
      </w:r>
    </w:p>
    <w:p w:rsidR="00376236" w:rsidRPr="00376236" w:rsidRDefault="00376236" w:rsidP="0037623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:rsidR="00C93765" w:rsidRPr="00C93765" w:rsidRDefault="005677E7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C93765" w:rsidRPr="00C93765" w:rsidRDefault="005677E7" w:rsidP="00C93765">
      <w:pPr>
        <w:spacing w:after="0"/>
        <w:ind w:left="0" w:hanging="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3765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</w:t>
      </w:r>
      <w:r w:rsidR="00376C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93765">
        <w:rPr>
          <w:rFonts w:ascii="Times New Roman" w:hAnsi="Times New Roman"/>
          <w:b/>
          <w:sz w:val="24"/>
          <w:szCs w:val="24"/>
          <w:lang w:val="uk-UA"/>
        </w:rPr>
        <w:t>Роменської міської ради» на 2024 рік</w:t>
      </w:r>
    </w:p>
    <w:p w:rsidR="00D05203" w:rsidRPr="00D05203" w:rsidRDefault="00D05203" w:rsidP="00D05203">
      <w:pPr>
        <w:spacing w:after="0"/>
        <w:ind w:left="0" w:hanging="2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D05203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C93765" w:rsidRPr="00C93765" w:rsidRDefault="00C93765" w:rsidP="00C93765">
      <w:pPr>
        <w:spacing w:after="0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126"/>
      </w:tblGrid>
      <w:tr w:rsidR="001143F3" w:rsidTr="00962932">
        <w:trPr>
          <w:trHeight w:val="89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right="-108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93765" w:rsidRPr="00C93765" w:rsidRDefault="005677E7" w:rsidP="00C93765">
            <w:pPr>
              <w:spacing w:after="0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962932" w:rsidTr="00962932">
        <w:trPr>
          <w:trHeight w:val="4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962932">
            <w:pPr>
              <w:spacing w:after="0"/>
              <w:ind w:left="0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Фінансова підтримка КП «Комбінат комунальних підприємств» РМР»</w:t>
            </w:r>
          </w:p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96695C" w:rsidP="00962932">
            <w:pPr>
              <w:spacing w:after="0"/>
              <w:ind w:leftChars="0" w:left="2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2 067,611</w:t>
            </w:r>
          </w:p>
        </w:tc>
      </w:tr>
      <w:tr w:rsidR="00962932" w:rsidTr="00962932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нарахува</w:t>
            </w:r>
            <w:bookmarkStart w:id="0" w:name="_GoBack"/>
            <w:bookmarkEnd w:id="0"/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8A2F63" w:rsidP="00962932">
            <w:pPr>
              <w:spacing w:after="0"/>
              <w:ind w:leftChars="0" w:left="2" w:hanging="2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454,875</w:t>
            </w:r>
          </w:p>
        </w:tc>
      </w:tr>
      <w:tr w:rsidR="00962932" w:rsidTr="00962932">
        <w:trPr>
          <w:trHeight w:val="8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962932" w:rsidP="00962932">
            <w:pPr>
              <w:spacing w:after="0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8276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1 470,000</w:t>
            </w:r>
          </w:p>
        </w:tc>
      </w:tr>
      <w:tr w:rsidR="00962932" w:rsidTr="00962932">
        <w:trPr>
          <w:trHeight w:val="9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32" w:rsidRPr="00C93765" w:rsidRDefault="00962932" w:rsidP="00C93765">
            <w:pPr>
              <w:spacing w:after="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C93765" w:rsidRDefault="00962932" w:rsidP="00962932">
            <w:pPr>
              <w:spacing w:after="0"/>
              <w:ind w:leftChars="0" w:left="0" w:firstLineChars="0" w:firstLine="0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о</w:t>
            </w:r>
            <w:r w:rsidRPr="00B82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плата заборгованості з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932" w:rsidRPr="00682766" w:rsidRDefault="00962932" w:rsidP="00962932">
            <w:pPr>
              <w:spacing w:after="0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500,000</w:t>
            </w:r>
          </w:p>
        </w:tc>
      </w:tr>
      <w:tr w:rsidR="001143F3" w:rsidTr="0096293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Pr="00C93765" w:rsidRDefault="00C93765" w:rsidP="00C93765">
            <w:pPr>
              <w:spacing w:after="0"/>
              <w:ind w:left="0" w:hanging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C93765" w:rsidRDefault="005677E7" w:rsidP="00962932">
            <w:pPr>
              <w:spacing w:after="0"/>
              <w:ind w:left="0" w:hanging="2"/>
              <w:textDirection w:val="lrTb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937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C93765" w:rsidRDefault="00C93765" w:rsidP="00962932">
            <w:pPr>
              <w:spacing w:after="0"/>
              <w:ind w:leftChars="0" w:left="0" w:firstLineChars="0" w:firstLine="0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65" w:rsidRPr="00682766" w:rsidRDefault="000A1196" w:rsidP="00962932">
            <w:pPr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position w:val="0"/>
                <w:sz w:val="24"/>
                <w:szCs w:val="24"/>
                <w:lang w:val="uk-UA"/>
              </w:rPr>
              <w:t>4 4</w:t>
            </w:r>
            <w:r w:rsidR="004C70EB">
              <w:rPr>
                <w:rFonts w:ascii="Times New Roman" w:eastAsia="Times New Roman" w:hAnsi="Times New Roman" w:cs="Times New Roman"/>
                <w:b/>
                <w:iCs/>
                <w:position w:val="0"/>
                <w:sz w:val="24"/>
                <w:szCs w:val="24"/>
                <w:lang w:val="uk-UA"/>
              </w:rPr>
              <w:t>92,486</w:t>
            </w:r>
          </w:p>
        </w:tc>
      </w:tr>
    </w:tbl>
    <w:p w:rsidR="008A2CCD" w:rsidRDefault="008A2CCD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A5AC8" w:rsidRDefault="009A5AC8" w:rsidP="0058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27EAD" w:rsidRPr="00E27EAD" w:rsidRDefault="0047282D" w:rsidP="00E27EAD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  <w:t>В’ячеслав ГУБАРЬ</w:t>
      </w: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7EAD" w:rsidRDefault="00E27EAD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6236" w:rsidRPr="006A779C" w:rsidRDefault="005677E7" w:rsidP="00376236">
      <w:pPr>
        <w:spacing w:after="0" w:line="273" w:lineRule="auto"/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376236" w:rsidRDefault="005677E7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до 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проєкту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рішення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Роменської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>міської</w:t>
      </w:r>
      <w:proofErr w:type="spellEnd"/>
      <w:r w:rsidRPr="006A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ради</w:t>
      </w:r>
    </w:p>
    <w:p w:rsidR="00376236" w:rsidRPr="004A1AD6" w:rsidRDefault="005677E7" w:rsidP="004A1AD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«</w:t>
      </w:r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>внесення</w:t>
      </w:r>
      <w:proofErr w:type="spellEnd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>змін</w:t>
      </w:r>
      <w:proofErr w:type="spellEnd"/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 </w:t>
      </w:r>
      <w:r w:rsidR="004A1AD6" w:rsidRPr="004A1AD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376236" w:rsidRDefault="00376236" w:rsidP="00376236">
      <w:pPr>
        <w:spacing w:after="0" w:line="273" w:lineRule="auto"/>
        <w:ind w:left="0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275F56" w:rsidRPr="00275F56" w:rsidRDefault="00275F56" w:rsidP="00275F56">
      <w:pPr>
        <w:spacing w:after="60" w:line="271" w:lineRule="auto"/>
        <w:ind w:left="-2" w:firstLineChars="236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75F5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75F56"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міської ради розроблено </w:t>
      </w:r>
      <w:r w:rsidRPr="00275F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Pr="00275F5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пункту 22 статті 26 Закону України «Про місцеве самоврядування в Україні», </w:t>
      </w:r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5</w:t>
      </w:r>
      <w:r w:rsidRPr="009A1AF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A1A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</w:t>
      </w:r>
      <w:r w:rsidRPr="00275F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75F56">
        <w:rPr>
          <w:rFonts w:ascii="Times New Roman" w:hAnsi="Times New Roman"/>
          <w:sz w:val="24"/>
          <w:szCs w:val="24"/>
          <w:lang w:val="uk-UA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</w:t>
      </w:r>
      <w:r w:rsidRPr="00275F5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враховуючи лист директора Комунального підприємства «Комбінат Комунальних підприємств» Роменської міської ради від 12.09.2024 № 557, протокол засідання наглядової ради КП «ККП» РМР від</w:t>
      </w:r>
      <w:r w:rsidR="000A1196" w:rsidRPr="000A119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="000A1196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14.12.2023 №3 та</w:t>
      </w:r>
      <w:r w:rsidRPr="00275F5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18.09.2024 № 4,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громади.</w:t>
      </w:r>
    </w:p>
    <w:p w:rsidR="004A1AD6" w:rsidRDefault="005677E7" w:rsidP="004A1AD6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446D9">
        <w:rPr>
          <w:rFonts w:ascii="Times New Roman" w:hAnsi="Times New Roman"/>
          <w:sz w:val="24"/>
          <w:szCs w:val="24"/>
          <w:lang w:val="uk-UA"/>
        </w:rPr>
        <w:t xml:space="preserve">Комунальне підприємство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0446D9">
        <w:rPr>
          <w:rFonts w:ascii="Times New Roman" w:hAnsi="Times New Roman"/>
          <w:sz w:val="24"/>
          <w:szCs w:val="24"/>
          <w:lang w:val="uk-UA"/>
        </w:rPr>
        <w:t>Комбінат комунальних підприємств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є стратегічно важливим підприємством для Роменської міської територіальної громади, яке забезпечує вивезення, розміщення та захоронення твердих побутових відходів, вивезення рідких побутових відходів</w:t>
      </w:r>
      <w:r w:rsidR="005D6E6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тарифа</w:t>
      </w:r>
      <w:r>
        <w:rPr>
          <w:rFonts w:ascii="Times New Roman" w:hAnsi="Times New Roman"/>
          <w:sz w:val="24"/>
          <w:szCs w:val="24"/>
          <w:lang w:val="uk-UA"/>
        </w:rPr>
        <w:t>ми,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затверджени</w:t>
      </w:r>
      <w:r>
        <w:rPr>
          <w:rFonts w:ascii="Times New Roman" w:hAnsi="Times New Roman"/>
          <w:sz w:val="24"/>
          <w:szCs w:val="24"/>
          <w:lang w:val="uk-UA"/>
        </w:rPr>
        <w:t>ми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Рішеннями виконавчого комітету Роменської міської ради від 19.09.2018 № 10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 та № 10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0446D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4A1AD6" w:rsidRPr="005F61FB" w:rsidRDefault="005677E7" w:rsidP="004A1AD6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 моменту затвердження діючих тарифів відбулося неодноразов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е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підвищення</w:t>
      </w:r>
      <w:r w:rsidR="00C7205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рівня мінімальної заробітної плати,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цін на електроенергію,</w:t>
      </w:r>
      <w:r w:rsidR="005D6E6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9C2B2A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запасні частини до техніки</w:t>
      </w:r>
      <w:r w:rsidRPr="00671357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71357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71357">
        <w:rPr>
          <w:rFonts w:ascii="Times New Roman" w:hAnsi="Times New Roman"/>
          <w:sz w:val="24"/>
          <w:szCs w:val="24"/>
          <w:lang w:val="uk-UA"/>
        </w:rPr>
        <w:t>вивезення, розміщення та захоронення тверд</w:t>
      </w:r>
      <w:r>
        <w:rPr>
          <w:rFonts w:ascii="Times New Roman" w:hAnsi="Times New Roman"/>
          <w:sz w:val="24"/>
          <w:szCs w:val="24"/>
          <w:lang w:val="uk-UA"/>
        </w:rPr>
        <w:t xml:space="preserve">их та </w:t>
      </w:r>
      <w:r w:rsidRPr="00671357">
        <w:rPr>
          <w:rFonts w:ascii="Times New Roman" w:hAnsi="Times New Roman"/>
          <w:sz w:val="24"/>
          <w:szCs w:val="24"/>
          <w:lang w:val="uk-UA"/>
        </w:rPr>
        <w:t>рідких побутових відходів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. </w:t>
      </w:r>
      <w:r w:rsidRPr="005F61F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6B34C2" w:rsidRPr="005D6E62" w:rsidRDefault="005677E7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D6E62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5D6E62">
        <w:rPr>
          <w:rFonts w:ascii="Times New Roman" w:hAnsi="Times New Roman"/>
          <w:sz w:val="24"/>
          <w:szCs w:val="24"/>
          <w:lang w:val="uk-UA"/>
        </w:rPr>
        <w:t xml:space="preserve"> рішення передбачає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внесення таких змін до Програми щодо заходів та обсягів фінансування:</w:t>
      </w:r>
    </w:p>
    <w:p w:rsidR="006B34C2" w:rsidRPr="005D6E62" w:rsidRDefault="005D6E62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Зміна Паспорту Програми у частині загального обсягу фінансових ресурсів, н</w:t>
      </w:r>
      <w:r w:rsidR="0096695C">
        <w:rPr>
          <w:rFonts w:ascii="Times New Roman" w:hAnsi="Times New Roman"/>
          <w:sz w:val="24"/>
          <w:szCs w:val="24"/>
          <w:lang w:val="uk-UA"/>
        </w:rPr>
        <w:t>еобхідних для її реалізації на 8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 xml:space="preserve">00,000 тис. грн (з </w:t>
      </w:r>
      <w:r w:rsidR="00F56EA7">
        <w:rPr>
          <w:rFonts w:ascii="Times New Roman" w:hAnsi="Times New Roman"/>
          <w:sz w:val="24"/>
          <w:szCs w:val="24"/>
          <w:lang w:val="uk-UA"/>
        </w:rPr>
        <w:t xml:space="preserve">3 692,486 </w:t>
      </w:r>
      <w:r w:rsidR="00AB0E6F" w:rsidRPr="005D6E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тис. грн на</w:t>
      </w:r>
      <w:r w:rsidR="008A2F63">
        <w:rPr>
          <w:rFonts w:ascii="Times New Roman" w:hAnsi="Times New Roman"/>
          <w:sz w:val="24"/>
          <w:szCs w:val="24"/>
          <w:lang w:val="uk-UA"/>
        </w:rPr>
        <w:t xml:space="preserve"> 4 4</w:t>
      </w:r>
      <w:r w:rsidR="004C70EB">
        <w:rPr>
          <w:rFonts w:ascii="Times New Roman" w:hAnsi="Times New Roman"/>
          <w:sz w:val="24"/>
          <w:szCs w:val="24"/>
          <w:lang w:val="uk-UA"/>
        </w:rPr>
        <w:t>92,486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 xml:space="preserve"> тис. грн)</w:t>
      </w:r>
      <w:r w:rsidR="00DB0C23">
        <w:rPr>
          <w:rFonts w:ascii="Times New Roman" w:hAnsi="Times New Roman"/>
          <w:sz w:val="24"/>
          <w:szCs w:val="24"/>
          <w:lang w:val="uk-UA"/>
        </w:rPr>
        <w:t>.</w:t>
      </w:r>
    </w:p>
    <w:p w:rsidR="006B34C2" w:rsidRDefault="005D6E62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B0E6F">
        <w:rPr>
          <w:rFonts w:ascii="Times New Roman" w:hAnsi="Times New Roman"/>
          <w:sz w:val="24"/>
          <w:szCs w:val="24"/>
          <w:lang w:val="uk-UA"/>
        </w:rPr>
        <w:t xml:space="preserve">Збільшення обсягів фінансування по заходу 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«</w:t>
      </w:r>
      <w:r w:rsidR="00AB0E6F">
        <w:rPr>
          <w:rFonts w:ascii="Times New Roman" w:hAnsi="Times New Roman"/>
          <w:sz w:val="24"/>
          <w:szCs w:val="24"/>
          <w:lang w:val="uk-UA" w:eastAsia="en-US"/>
        </w:rPr>
        <w:t>З</w:t>
      </w:r>
      <w:r w:rsidR="00AB0E6F" w:rsidRPr="00AB0E6F">
        <w:rPr>
          <w:rFonts w:ascii="Times New Roman" w:hAnsi="Times New Roman"/>
          <w:sz w:val="24"/>
          <w:szCs w:val="24"/>
          <w:lang w:val="uk-UA" w:eastAsia="en-US"/>
        </w:rPr>
        <w:t>аробітна плата</w:t>
      </w:r>
      <w:r w:rsidR="006B34C2" w:rsidRPr="005D6E62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2F63">
        <w:rPr>
          <w:rFonts w:ascii="Times New Roman" w:hAnsi="Times New Roman"/>
          <w:sz w:val="24"/>
          <w:szCs w:val="24"/>
          <w:lang w:val="uk-UA"/>
        </w:rPr>
        <w:t>на 655,738</w:t>
      </w:r>
      <w:r w:rsidR="00AB0E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B0E6F">
        <w:rPr>
          <w:rFonts w:ascii="Times New Roman" w:hAnsi="Times New Roman"/>
          <w:sz w:val="24"/>
          <w:szCs w:val="24"/>
          <w:lang w:val="uk-UA"/>
        </w:rPr>
        <w:t xml:space="preserve"> (з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6EA7">
        <w:rPr>
          <w:rFonts w:ascii="Times New Roman" w:hAnsi="Times New Roman"/>
          <w:sz w:val="24"/>
          <w:szCs w:val="24"/>
          <w:lang w:val="uk-UA"/>
        </w:rPr>
        <w:t xml:space="preserve">1 411,873 </w:t>
      </w:r>
      <w:proofErr w:type="spellStart"/>
      <w:r w:rsid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AB0E6F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8A2F63">
        <w:rPr>
          <w:rFonts w:ascii="Times New Roman" w:hAnsi="Times New Roman"/>
          <w:sz w:val="24"/>
          <w:szCs w:val="24"/>
          <w:lang w:val="uk-UA"/>
        </w:rPr>
        <w:t>2 067,611</w:t>
      </w:r>
      <w:r w:rsidR="00F56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0E6F">
        <w:rPr>
          <w:rFonts w:ascii="Times New Roman" w:hAnsi="Times New Roman"/>
          <w:sz w:val="24"/>
          <w:szCs w:val="24"/>
          <w:lang w:val="uk-UA"/>
        </w:rPr>
        <w:t>тис грн)</w:t>
      </w:r>
      <w:r w:rsidR="00DB0C23">
        <w:rPr>
          <w:rFonts w:ascii="Times New Roman" w:hAnsi="Times New Roman"/>
          <w:sz w:val="24"/>
          <w:szCs w:val="24"/>
          <w:lang w:val="uk-UA"/>
        </w:rPr>
        <w:t>.</w:t>
      </w:r>
    </w:p>
    <w:p w:rsidR="00AB0E6F" w:rsidRPr="005D6E62" w:rsidRDefault="00AB0E6F" w:rsidP="005D6E62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AB0E6F">
        <w:rPr>
          <w:rFonts w:ascii="Times New Roman" w:hAnsi="Times New Roman"/>
          <w:sz w:val="24"/>
          <w:szCs w:val="24"/>
          <w:lang w:val="uk-UA"/>
        </w:rPr>
        <w:t>Збільшення обсягів фінансування по заходу «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56EA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B0E6F">
        <w:rPr>
          <w:rFonts w:ascii="Times New Roman" w:hAnsi="Times New Roman" w:cs="Times New Roman"/>
          <w:sz w:val="24"/>
          <w:szCs w:val="24"/>
          <w:lang w:val="uk-UA"/>
        </w:rPr>
        <w:t>рахування на оплату праці</w:t>
      </w:r>
      <w:r w:rsidRPr="00AB0E6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A2F63">
        <w:rPr>
          <w:rFonts w:ascii="Times New Roman" w:hAnsi="Times New Roman"/>
          <w:sz w:val="24"/>
          <w:szCs w:val="24"/>
          <w:lang w:val="uk-UA"/>
        </w:rPr>
        <w:t>на 144,262</w:t>
      </w:r>
      <w:r w:rsidRPr="00AB0E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7A5C6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0E6F">
        <w:rPr>
          <w:rFonts w:ascii="Times New Roman" w:hAnsi="Times New Roman"/>
          <w:sz w:val="24"/>
          <w:szCs w:val="24"/>
          <w:lang w:val="uk-UA"/>
        </w:rPr>
        <w:t xml:space="preserve">( з  </w:t>
      </w:r>
      <w:r w:rsidR="00F56EA7">
        <w:rPr>
          <w:rFonts w:ascii="Times New Roman" w:hAnsi="Times New Roman"/>
          <w:sz w:val="24"/>
          <w:szCs w:val="24"/>
          <w:lang w:val="uk-UA"/>
        </w:rPr>
        <w:t>310,613</w:t>
      </w:r>
      <w:r w:rsidR="00F56EA7" w:rsidRPr="00AB0E6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B0E6F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AB0E6F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="00F56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2F63">
        <w:rPr>
          <w:rFonts w:ascii="Times New Roman" w:hAnsi="Times New Roman"/>
          <w:sz w:val="24"/>
          <w:szCs w:val="24"/>
          <w:lang w:val="uk-UA"/>
        </w:rPr>
        <w:t>454,875</w:t>
      </w:r>
      <w:r w:rsidR="00F56E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0E6F">
        <w:rPr>
          <w:rFonts w:ascii="Times New Roman" w:hAnsi="Times New Roman"/>
          <w:sz w:val="24"/>
          <w:szCs w:val="24"/>
          <w:lang w:val="uk-UA"/>
        </w:rPr>
        <w:t>тис грн)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970D8" w:rsidRDefault="00E970D8" w:rsidP="00E970D8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6E62" w:rsidRDefault="005D6E62" w:rsidP="00E970D8">
      <w:pPr>
        <w:spacing w:after="60" w:line="271" w:lineRule="auto"/>
        <w:ind w:leftChars="0" w:left="0" w:firstLineChars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Олена ГРЕБЕНЮК</w:t>
      </w:r>
    </w:p>
    <w:p w:rsidR="00376236" w:rsidRPr="00EA4082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A408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</w:p>
    <w:p w:rsidR="00376236" w:rsidRDefault="005677E7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6470">
        <w:rPr>
          <w:rFonts w:ascii="Times New Roman" w:hAnsi="Times New Roman"/>
          <w:b/>
          <w:bCs/>
          <w:sz w:val="24"/>
          <w:szCs w:val="24"/>
          <w:lang w:val="uk-UA"/>
        </w:rPr>
        <w:t>Погоджено</w:t>
      </w:r>
    </w:p>
    <w:p w:rsidR="00B82B2A" w:rsidRPr="00C26470" w:rsidRDefault="00962932" w:rsidP="00376236">
      <w:pPr>
        <w:spacing w:after="0" w:line="273" w:lineRule="auto"/>
        <w:ind w:left="0" w:hanging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Керуючий</w:t>
      </w:r>
      <w:r w:rsidR="00B82B2A">
        <w:rPr>
          <w:rFonts w:ascii="Times New Roman" w:hAnsi="Times New Roman"/>
          <w:b/>
          <w:bCs/>
          <w:sz w:val="24"/>
          <w:szCs w:val="24"/>
          <w:lang w:val="uk-UA"/>
        </w:rPr>
        <w:t xml:space="preserve"> справами виконком</w:t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376CDA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B82B2A">
        <w:rPr>
          <w:rFonts w:ascii="Times New Roman" w:hAnsi="Times New Roman"/>
          <w:b/>
          <w:bCs/>
          <w:sz w:val="24"/>
          <w:szCs w:val="24"/>
          <w:lang w:val="uk-UA"/>
        </w:rPr>
        <w:t>Наталія МОСКАЛЕНКО</w:t>
      </w:r>
    </w:p>
    <w:sectPr w:rsidR="00B82B2A" w:rsidRPr="00C26470" w:rsidSect="002107F1">
      <w:pgSz w:w="11906" w:h="16838"/>
      <w:pgMar w:top="1134" w:right="567" w:bottom="851" w:left="1701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67A6"/>
    <w:multiLevelType w:val="hybridMultilevel"/>
    <w:tmpl w:val="89D40B26"/>
    <w:lvl w:ilvl="0" w:tplc="BF5E1E0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3A1488DE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42484E30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F762F2B2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52F04F6A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E94EE8D8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33221BB6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851AA114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1E4A6070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3EF0206"/>
    <w:multiLevelType w:val="hybridMultilevel"/>
    <w:tmpl w:val="B2E22F66"/>
    <w:lvl w:ilvl="0" w:tplc="513CBD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C82A7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62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C7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3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00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A6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9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E9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55CBD"/>
    <w:multiLevelType w:val="hybridMultilevel"/>
    <w:tmpl w:val="9A4CD0C8"/>
    <w:lvl w:ilvl="0" w:tplc="BC20ADD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85FCABF0" w:tentative="1">
      <w:start w:val="1"/>
      <w:numFmt w:val="lowerLetter"/>
      <w:lvlText w:val="%2."/>
      <w:lvlJc w:val="left"/>
      <w:pPr>
        <w:ind w:left="1078" w:hanging="360"/>
      </w:pPr>
    </w:lvl>
    <w:lvl w:ilvl="2" w:tplc="9450478E" w:tentative="1">
      <w:start w:val="1"/>
      <w:numFmt w:val="lowerRoman"/>
      <w:lvlText w:val="%3."/>
      <w:lvlJc w:val="right"/>
      <w:pPr>
        <w:ind w:left="1798" w:hanging="180"/>
      </w:pPr>
    </w:lvl>
    <w:lvl w:ilvl="3" w:tplc="8A2A0506" w:tentative="1">
      <w:start w:val="1"/>
      <w:numFmt w:val="decimal"/>
      <w:lvlText w:val="%4."/>
      <w:lvlJc w:val="left"/>
      <w:pPr>
        <w:ind w:left="2518" w:hanging="360"/>
      </w:pPr>
    </w:lvl>
    <w:lvl w:ilvl="4" w:tplc="1B3E659A" w:tentative="1">
      <w:start w:val="1"/>
      <w:numFmt w:val="lowerLetter"/>
      <w:lvlText w:val="%5."/>
      <w:lvlJc w:val="left"/>
      <w:pPr>
        <w:ind w:left="3238" w:hanging="360"/>
      </w:pPr>
    </w:lvl>
    <w:lvl w:ilvl="5" w:tplc="2828E9BE" w:tentative="1">
      <w:start w:val="1"/>
      <w:numFmt w:val="lowerRoman"/>
      <w:lvlText w:val="%6."/>
      <w:lvlJc w:val="right"/>
      <w:pPr>
        <w:ind w:left="3958" w:hanging="180"/>
      </w:pPr>
    </w:lvl>
    <w:lvl w:ilvl="6" w:tplc="CD082E6A" w:tentative="1">
      <w:start w:val="1"/>
      <w:numFmt w:val="decimal"/>
      <w:lvlText w:val="%7."/>
      <w:lvlJc w:val="left"/>
      <w:pPr>
        <w:ind w:left="4678" w:hanging="360"/>
      </w:pPr>
    </w:lvl>
    <w:lvl w:ilvl="7" w:tplc="1C900002" w:tentative="1">
      <w:start w:val="1"/>
      <w:numFmt w:val="lowerLetter"/>
      <w:lvlText w:val="%8."/>
      <w:lvlJc w:val="left"/>
      <w:pPr>
        <w:ind w:left="5398" w:hanging="360"/>
      </w:pPr>
    </w:lvl>
    <w:lvl w:ilvl="8" w:tplc="AC4ECE6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7C8033F"/>
    <w:multiLevelType w:val="hybridMultilevel"/>
    <w:tmpl w:val="42DA2C52"/>
    <w:lvl w:ilvl="0" w:tplc="235E2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D"/>
    <w:rsid w:val="00010A8C"/>
    <w:rsid w:val="000243B0"/>
    <w:rsid w:val="00033C87"/>
    <w:rsid w:val="00040885"/>
    <w:rsid w:val="000446D9"/>
    <w:rsid w:val="0005247E"/>
    <w:rsid w:val="000664FB"/>
    <w:rsid w:val="000A1196"/>
    <w:rsid w:val="000B3B11"/>
    <w:rsid w:val="000E40AF"/>
    <w:rsid w:val="00104C0A"/>
    <w:rsid w:val="001143F3"/>
    <w:rsid w:val="00115A1A"/>
    <w:rsid w:val="00124099"/>
    <w:rsid w:val="00136B1F"/>
    <w:rsid w:val="00137AAC"/>
    <w:rsid w:val="00137BD9"/>
    <w:rsid w:val="00137D33"/>
    <w:rsid w:val="001437A2"/>
    <w:rsid w:val="001448BE"/>
    <w:rsid w:val="00150323"/>
    <w:rsid w:val="001524D1"/>
    <w:rsid w:val="001714E8"/>
    <w:rsid w:val="001724CA"/>
    <w:rsid w:val="00174FB7"/>
    <w:rsid w:val="001A1537"/>
    <w:rsid w:val="001A3C40"/>
    <w:rsid w:val="001C0A03"/>
    <w:rsid w:val="001F6488"/>
    <w:rsid w:val="002077C5"/>
    <w:rsid w:val="002107F1"/>
    <w:rsid w:val="00236481"/>
    <w:rsid w:val="00242B0A"/>
    <w:rsid w:val="0025383C"/>
    <w:rsid w:val="0026009B"/>
    <w:rsid w:val="00275F56"/>
    <w:rsid w:val="002808FA"/>
    <w:rsid w:val="00291D98"/>
    <w:rsid w:val="002B0CE4"/>
    <w:rsid w:val="00376236"/>
    <w:rsid w:val="00376CDA"/>
    <w:rsid w:val="003A524B"/>
    <w:rsid w:val="003C3888"/>
    <w:rsid w:val="00407B5A"/>
    <w:rsid w:val="00412364"/>
    <w:rsid w:val="00440DF2"/>
    <w:rsid w:val="0047282D"/>
    <w:rsid w:val="0049448E"/>
    <w:rsid w:val="004A1AD6"/>
    <w:rsid w:val="004B3008"/>
    <w:rsid w:val="004B38DC"/>
    <w:rsid w:val="004C70EB"/>
    <w:rsid w:val="004D57B5"/>
    <w:rsid w:val="004E1F8A"/>
    <w:rsid w:val="004E6D53"/>
    <w:rsid w:val="00547D7E"/>
    <w:rsid w:val="005677E7"/>
    <w:rsid w:val="00571AD9"/>
    <w:rsid w:val="0057565F"/>
    <w:rsid w:val="005860C6"/>
    <w:rsid w:val="00594C59"/>
    <w:rsid w:val="00595A30"/>
    <w:rsid w:val="005A150C"/>
    <w:rsid w:val="005B0CF4"/>
    <w:rsid w:val="005B211B"/>
    <w:rsid w:val="005C134A"/>
    <w:rsid w:val="005D6E62"/>
    <w:rsid w:val="005F4A31"/>
    <w:rsid w:val="005F61FB"/>
    <w:rsid w:val="00630237"/>
    <w:rsid w:val="00671357"/>
    <w:rsid w:val="00671973"/>
    <w:rsid w:val="00673D91"/>
    <w:rsid w:val="00682766"/>
    <w:rsid w:val="006A674E"/>
    <w:rsid w:val="006A779C"/>
    <w:rsid w:val="006A78EB"/>
    <w:rsid w:val="006B34C2"/>
    <w:rsid w:val="006B6231"/>
    <w:rsid w:val="006D1BA2"/>
    <w:rsid w:val="006F0B7E"/>
    <w:rsid w:val="007159B7"/>
    <w:rsid w:val="00731449"/>
    <w:rsid w:val="00743027"/>
    <w:rsid w:val="007674D0"/>
    <w:rsid w:val="00770029"/>
    <w:rsid w:val="00775C37"/>
    <w:rsid w:val="0078226E"/>
    <w:rsid w:val="0079625B"/>
    <w:rsid w:val="007A3044"/>
    <w:rsid w:val="007A5AB9"/>
    <w:rsid w:val="007A5C61"/>
    <w:rsid w:val="007C7E5E"/>
    <w:rsid w:val="007D6247"/>
    <w:rsid w:val="007D791E"/>
    <w:rsid w:val="007E54BF"/>
    <w:rsid w:val="008103AD"/>
    <w:rsid w:val="00817161"/>
    <w:rsid w:val="008234E2"/>
    <w:rsid w:val="00833FCB"/>
    <w:rsid w:val="00840ED0"/>
    <w:rsid w:val="008562B1"/>
    <w:rsid w:val="0087781E"/>
    <w:rsid w:val="00877C33"/>
    <w:rsid w:val="008A2CCD"/>
    <w:rsid w:val="008A2F63"/>
    <w:rsid w:val="008E493D"/>
    <w:rsid w:val="0091573D"/>
    <w:rsid w:val="00932100"/>
    <w:rsid w:val="0094359A"/>
    <w:rsid w:val="009474CC"/>
    <w:rsid w:val="00962932"/>
    <w:rsid w:val="0096695C"/>
    <w:rsid w:val="0097717D"/>
    <w:rsid w:val="009A5AC8"/>
    <w:rsid w:val="009C2B2A"/>
    <w:rsid w:val="009C5A71"/>
    <w:rsid w:val="009C5B8C"/>
    <w:rsid w:val="009C5BB3"/>
    <w:rsid w:val="009D1254"/>
    <w:rsid w:val="00A32234"/>
    <w:rsid w:val="00A85599"/>
    <w:rsid w:val="00AB0E6F"/>
    <w:rsid w:val="00AD1352"/>
    <w:rsid w:val="00B0282C"/>
    <w:rsid w:val="00B73F4C"/>
    <w:rsid w:val="00B82B2A"/>
    <w:rsid w:val="00B96091"/>
    <w:rsid w:val="00BA0E2F"/>
    <w:rsid w:val="00BA168C"/>
    <w:rsid w:val="00BE7ABF"/>
    <w:rsid w:val="00C0012B"/>
    <w:rsid w:val="00C02D96"/>
    <w:rsid w:val="00C0633F"/>
    <w:rsid w:val="00C26470"/>
    <w:rsid w:val="00C44832"/>
    <w:rsid w:val="00C66D4E"/>
    <w:rsid w:val="00C72056"/>
    <w:rsid w:val="00C822EB"/>
    <w:rsid w:val="00C93765"/>
    <w:rsid w:val="00CC4025"/>
    <w:rsid w:val="00CD373C"/>
    <w:rsid w:val="00CF3754"/>
    <w:rsid w:val="00D0042A"/>
    <w:rsid w:val="00D035DF"/>
    <w:rsid w:val="00D05203"/>
    <w:rsid w:val="00D40BA1"/>
    <w:rsid w:val="00D67A3B"/>
    <w:rsid w:val="00DB0C23"/>
    <w:rsid w:val="00DD50C6"/>
    <w:rsid w:val="00DE7D70"/>
    <w:rsid w:val="00E21A4E"/>
    <w:rsid w:val="00E27EAD"/>
    <w:rsid w:val="00E3522A"/>
    <w:rsid w:val="00E655F4"/>
    <w:rsid w:val="00E970D8"/>
    <w:rsid w:val="00EA248D"/>
    <w:rsid w:val="00EA4082"/>
    <w:rsid w:val="00EE123B"/>
    <w:rsid w:val="00F118B9"/>
    <w:rsid w:val="00F158C5"/>
    <w:rsid w:val="00F34F64"/>
    <w:rsid w:val="00F55FD5"/>
    <w:rsid w:val="00F56EA7"/>
    <w:rsid w:val="00F66E93"/>
    <w:rsid w:val="00F70D51"/>
    <w:rsid w:val="00F7359C"/>
    <w:rsid w:val="00F75CFA"/>
    <w:rsid w:val="00FA2D83"/>
    <w:rsid w:val="00FB496C"/>
    <w:rsid w:val="00FD3EB1"/>
    <w:rsid w:val="00FF075E"/>
    <w:rsid w:val="00FF4ECA"/>
    <w:rsid w:val="00FF59B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E33E"/>
  <w15:docId w15:val="{BB1A66D8-F9BA-48A6-ACD3-20B97A27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2CC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Обычны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3023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630237"/>
    <w:rPr>
      <w:rFonts w:ascii="Segoe UI" w:hAnsi="Segoe UI" w:cs="Segoe UI"/>
      <w:position w:val="-1"/>
      <w:sz w:val="18"/>
      <w:szCs w:val="18"/>
      <w:lang w:val="ru-RU" w:eastAsia="ru-RU"/>
    </w:rPr>
  </w:style>
  <w:style w:type="paragraph" w:customStyle="1" w:styleId="10">
    <w:name w:val="Звичайний1"/>
    <w:rsid w:val="006B34C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E2C1-21E8-4854-B25C-26A42F6A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3629</Words>
  <Characters>2069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2024-09-26T08:41:00Z</cp:lastPrinted>
  <dcterms:created xsi:type="dcterms:W3CDTF">2024-09-19T13:30:00Z</dcterms:created>
  <dcterms:modified xsi:type="dcterms:W3CDTF">2024-09-26T08:41:00Z</dcterms:modified>
</cp:coreProperties>
</file>