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08A5" w14:textId="77777777" w:rsidR="00B46D88" w:rsidRPr="00C577EA" w:rsidRDefault="009340F0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D07BC3">
        <w:rPr>
          <w:rFonts w:eastAsia="Calibri"/>
          <w:noProof/>
          <w:lang w:val="ru-RU" w:eastAsia="ru-RU"/>
        </w:rPr>
        <w:drawing>
          <wp:inline distT="0" distB="0" distL="0" distR="0" wp14:anchorId="7C466B3A" wp14:editId="348C7958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54E5" w14:textId="77777777" w:rsidR="00B46D88" w:rsidRPr="00C577EA" w:rsidRDefault="00B46D88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РОМЕНСЬКА МІСЬКА РАДА СУМСЬКОЇ ОБЛАСТІ</w:t>
      </w:r>
    </w:p>
    <w:p w14:paraId="2A59B374" w14:textId="77777777" w:rsidR="00B46D88" w:rsidRPr="00C577EA" w:rsidRDefault="00B46D88" w:rsidP="00B46D88">
      <w:pPr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ВОСЬМЕ  СКЛИКАННЯ</w:t>
      </w:r>
    </w:p>
    <w:p w14:paraId="4E462FF3" w14:textId="77777777" w:rsidR="00B46D88" w:rsidRPr="00C577EA" w:rsidRDefault="008900FF" w:rsidP="00B46D88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</w:rPr>
      </w:pPr>
      <w:r>
        <w:rPr>
          <w:b/>
          <w:bCs/>
          <w:noProof/>
        </w:rPr>
        <w:t xml:space="preserve">СІМДЕСЯТ </w:t>
      </w:r>
      <w:r w:rsidR="00B306F1">
        <w:rPr>
          <w:b/>
          <w:bCs/>
          <w:noProof/>
        </w:rPr>
        <w:t>ВОСЬМА</w:t>
      </w:r>
      <w:r w:rsidR="00B46D88" w:rsidRPr="00C577EA">
        <w:rPr>
          <w:b/>
          <w:bCs/>
          <w:noProof/>
        </w:rPr>
        <w:t xml:space="preserve"> СЕСІЯ</w:t>
      </w:r>
    </w:p>
    <w:p w14:paraId="75AA49B4" w14:textId="77777777" w:rsidR="00B46D88" w:rsidRPr="00C577EA" w:rsidRDefault="00B46D88" w:rsidP="00B46D88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lang w:eastAsia="en-US"/>
        </w:rPr>
      </w:pPr>
      <w:r w:rsidRPr="00C577EA">
        <w:rPr>
          <w:b/>
          <w:bCs/>
          <w:lang w:eastAsia="en-US"/>
        </w:rPr>
        <w:t>РІШЕННЯ</w:t>
      </w:r>
    </w:p>
    <w:p w14:paraId="20DA62B9" w14:textId="77777777" w:rsidR="00B46D88" w:rsidRPr="009340F0" w:rsidRDefault="00B46D88" w:rsidP="00B46D88">
      <w:pPr>
        <w:contextualSpacing/>
        <w:jc w:val="center"/>
        <w:rPr>
          <w:rFonts w:eastAsia="Calibri"/>
          <w:sz w:val="12"/>
          <w:szCs w:val="1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B46D88" w:rsidRPr="00BA143B" w14:paraId="1C3DEB79" w14:textId="77777777" w:rsidTr="00D07BC3">
        <w:tc>
          <w:tcPr>
            <w:tcW w:w="3190" w:type="dxa"/>
            <w:hideMark/>
          </w:tcPr>
          <w:p w14:paraId="750A0F12" w14:textId="77777777" w:rsidR="00B46D88" w:rsidRPr="00C577EA" w:rsidRDefault="00B306F1" w:rsidP="00B306F1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  <w:r w:rsidR="008900FF">
              <w:rPr>
                <w:rFonts w:eastAsia="Calibri"/>
                <w:b/>
                <w:lang w:eastAsia="en-US"/>
              </w:rPr>
              <w:t>.0</w:t>
            </w:r>
            <w:r>
              <w:rPr>
                <w:rFonts w:eastAsia="Calibri"/>
                <w:b/>
                <w:lang w:eastAsia="en-US"/>
              </w:rPr>
              <w:t>8</w:t>
            </w:r>
            <w:r w:rsidR="00B46D88" w:rsidRPr="00C577EA">
              <w:rPr>
                <w:rFonts w:eastAsia="Calibri"/>
                <w:b/>
                <w:lang w:eastAsia="en-US"/>
              </w:rPr>
              <w:t>.2024</w:t>
            </w:r>
          </w:p>
        </w:tc>
        <w:tc>
          <w:tcPr>
            <w:tcW w:w="3190" w:type="dxa"/>
            <w:gridSpan w:val="2"/>
            <w:hideMark/>
          </w:tcPr>
          <w:p w14:paraId="1DF12AC4" w14:textId="77777777"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C577EA">
              <w:rPr>
                <w:rFonts w:eastAsia="Calibri" w:cs="Tahoma"/>
                <w:b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14:paraId="4802532E" w14:textId="77777777"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174F" w14:paraId="127C9F60" w14:textId="77777777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14:paraId="0E7F39AE" w14:textId="77777777" w:rsidR="005C174F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>населених пунктів Роменської</w:t>
            </w:r>
            <w:r w:rsidR="00B306F1">
              <w:rPr>
                <w:b/>
              </w:rPr>
              <w:t xml:space="preserve"> </w:t>
            </w:r>
            <w:r w:rsidR="00B46D88">
              <w:rPr>
                <w:b/>
              </w:rPr>
              <w:t xml:space="preserve">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  <w:gridSpan w:val="2"/>
          </w:tcPr>
          <w:p w14:paraId="41D48EF2" w14:textId="77777777" w:rsidR="005C174F" w:rsidRDefault="005C174F" w:rsidP="00D07BC3">
            <w:pPr>
              <w:spacing w:before="120" w:after="120" w:line="268" w:lineRule="auto"/>
            </w:pPr>
          </w:p>
        </w:tc>
      </w:tr>
    </w:tbl>
    <w:p w14:paraId="51FAE7F6" w14:textId="77777777" w:rsidR="005D55EA" w:rsidRPr="005D55EA" w:rsidRDefault="005D55EA" w:rsidP="005D55EA">
      <w:pPr>
        <w:suppressAutoHyphens w:val="0"/>
        <w:spacing w:after="120" w:line="276" w:lineRule="auto"/>
        <w:ind w:firstLine="425"/>
        <w:jc w:val="both"/>
      </w:pPr>
      <w:r w:rsidRPr="005D55EA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14:paraId="21A1AA27" w14:textId="77777777" w:rsidR="005D55EA" w:rsidRPr="005D55EA" w:rsidRDefault="005D55EA" w:rsidP="009340F0">
      <w:pPr>
        <w:widowControl w:val="0"/>
        <w:spacing w:before="120" w:after="120"/>
        <w:rPr>
          <w:lang w:eastAsia="en-US"/>
        </w:rPr>
      </w:pPr>
      <w:r w:rsidRPr="005D55EA">
        <w:rPr>
          <w:lang w:eastAsia="en-US"/>
        </w:rPr>
        <w:t>МІСЬКА РАДА ВИРІШИЛА:</w:t>
      </w:r>
    </w:p>
    <w:p w14:paraId="52094F37" w14:textId="77777777" w:rsidR="005D55EA" w:rsidRPr="005D55EA" w:rsidRDefault="005D55EA" w:rsidP="00B306F1">
      <w:pPr>
        <w:suppressAutoHyphens w:val="0"/>
        <w:spacing w:after="120" w:line="276" w:lineRule="auto"/>
        <w:ind w:firstLine="425"/>
        <w:jc w:val="both"/>
      </w:pPr>
      <w:r w:rsidRPr="005D55EA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14:paraId="4A30E1E6" w14:textId="77777777" w:rsidR="005D55EA" w:rsidRPr="005D55EA" w:rsidRDefault="00B306F1" w:rsidP="00B306F1">
      <w:pPr>
        <w:suppressAutoHyphens w:val="0"/>
        <w:spacing w:line="276" w:lineRule="auto"/>
        <w:ind w:firstLine="425"/>
        <w:jc w:val="both"/>
      </w:pPr>
      <w:r>
        <w:t>1</w:t>
      </w:r>
      <w:r w:rsidR="005D55EA" w:rsidRPr="005D55EA">
        <w:t>) викласти пункт</w:t>
      </w:r>
      <w:r>
        <w:t xml:space="preserve"> 4</w:t>
      </w:r>
      <w:r w:rsidR="005D55EA" w:rsidRPr="005D55EA">
        <w:t xml:space="preserve"> «</w:t>
      </w:r>
      <w:r>
        <w:t>У</w:t>
      </w:r>
      <w:r w:rsidRPr="00085982">
        <w:t>тримання клумб, квітників, газонів, скверів</w:t>
      </w:r>
      <w:r w:rsidR="005D55EA" w:rsidRPr="005D55EA">
        <w:t xml:space="preserve">» пріоритету розвитку 2 «Збереження та  утримання на належному рівні зеленої зони населеного пункту та поліпшення його екологічних умов»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850"/>
        <w:gridCol w:w="992"/>
        <w:gridCol w:w="993"/>
        <w:gridCol w:w="1134"/>
        <w:gridCol w:w="992"/>
        <w:gridCol w:w="1417"/>
      </w:tblGrid>
      <w:tr w:rsidR="005D55EA" w:rsidRPr="005D55EA" w14:paraId="5B72A653" w14:textId="77777777" w:rsidTr="00A30B4C">
        <w:trPr>
          <w:trHeight w:val="2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0570421" w14:textId="77777777"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60" w:type="dxa"/>
            <w:vMerge w:val="restart"/>
            <w:vAlign w:val="center"/>
          </w:tcPr>
          <w:p w14:paraId="35463C15" w14:textId="77777777"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850" w:type="dxa"/>
            <w:vMerge w:val="restart"/>
            <w:vAlign w:val="center"/>
          </w:tcPr>
          <w:p w14:paraId="627BC027" w14:textId="77777777"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14:paraId="40877FCB" w14:textId="77777777"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3E709B" w14:textId="77777777"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proofErr w:type="spellEnd"/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5D55EA" w14:paraId="79F4238F" w14:textId="77777777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14:paraId="5863AAF2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02A1FC3B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1B560FA5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FA2E6DD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77F866D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54CAC8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14:paraId="7931DB3E" w14:textId="77777777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14:paraId="26051B0A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CEB0C4D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5043AC41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4F3421FD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08C1BA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CB5BD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50435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0F11FC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5D55EA" w14:paraId="48F92A46" w14:textId="77777777" w:rsidTr="00B306F1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CC8B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79D15" w14:textId="77777777" w:rsidR="00B306F1" w:rsidRPr="005D55EA" w:rsidRDefault="00B306F1" w:rsidP="0037230E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1E506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C1270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4E1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D5E8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D05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9D8D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  <w:tr w:rsidR="00B306F1" w:rsidRPr="005D55EA" w14:paraId="7156F907" w14:textId="77777777" w:rsidTr="003171AA">
        <w:trPr>
          <w:trHeight w:val="30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988" w14:textId="77777777" w:rsidR="00B306F1" w:rsidRPr="005D55EA" w:rsidRDefault="00B306F1" w:rsidP="009340F0">
            <w:pPr>
              <w:contextualSpacing/>
              <w:rPr>
                <w:bCs/>
              </w:rPr>
            </w:pPr>
            <w:r w:rsidRPr="00D94730">
              <w:t>2.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81AE" w14:textId="77777777" w:rsidR="00B306F1" w:rsidRPr="00085982" w:rsidRDefault="00B306F1" w:rsidP="00B306F1">
            <w:pPr>
              <w:spacing w:line="276" w:lineRule="auto"/>
            </w:pPr>
            <w:r>
              <w:t>4) у</w:t>
            </w:r>
            <w:r w:rsidRPr="00085982">
              <w:t xml:space="preserve">тримання клумб, </w:t>
            </w:r>
          </w:p>
          <w:p w14:paraId="796E9752" w14:textId="77777777" w:rsidR="00B306F1" w:rsidRPr="005D55EA" w:rsidRDefault="00B306F1" w:rsidP="00B306F1">
            <w:pPr>
              <w:contextualSpacing/>
              <w:rPr>
                <w:b/>
              </w:rPr>
            </w:pPr>
            <w:r w:rsidRPr="00085982">
              <w:t>квітників, газонів, скверів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01DF4" w14:textId="77777777" w:rsidR="00B306F1" w:rsidRPr="00B306F1" w:rsidRDefault="00B306F1" w:rsidP="00B306F1">
            <w:pPr>
              <w:ind w:left="-108" w:right="-108"/>
              <w:contextualSpacing/>
              <w:jc w:val="center"/>
              <w:rPr>
                <w:bCs/>
              </w:rPr>
            </w:pPr>
            <w:r w:rsidRPr="00B306F1">
              <w:t>Бюджет Ромен-</w:t>
            </w:r>
            <w:proofErr w:type="spellStart"/>
            <w:r w:rsidRPr="00B306F1">
              <w:t>ської</w:t>
            </w:r>
            <w:proofErr w:type="spellEnd"/>
            <w:r w:rsidRPr="00B306F1">
              <w:t xml:space="preserve"> МТГ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CDB7" w14:textId="77777777" w:rsidR="00B306F1" w:rsidRPr="00B306F1" w:rsidRDefault="00B306F1" w:rsidP="00B306F1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Pr="00B306F1">
              <w:rPr>
                <w:bCs/>
              </w:rPr>
              <w:t>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C889" w14:textId="77777777" w:rsidR="00B306F1" w:rsidRPr="00DC4B61" w:rsidRDefault="00B306F1" w:rsidP="00B306F1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0E8F" w14:textId="77777777" w:rsidR="00B306F1" w:rsidRPr="00DC4B61" w:rsidRDefault="00B306F1" w:rsidP="0037230E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139,000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2ECF" w14:textId="77777777" w:rsidR="00B306F1" w:rsidRPr="00DC4B61" w:rsidRDefault="00B306F1" w:rsidP="00B306F1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147,000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9124" w14:textId="77777777" w:rsidR="00B306F1" w:rsidRPr="005D55EA" w:rsidRDefault="00B306F1" w:rsidP="00B306F1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5D55EA">
              <w:t>Покращення зовнішнього вигляду зелених зон населених пунктів</w:t>
            </w:r>
          </w:p>
        </w:tc>
      </w:tr>
      <w:tr w:rsidR="00B306F1" w:rsidRPr="005D55EA" w14:paraId="564C828A" w14:textId="77777777" w:rsidTr="00A30B4C">
        <w:trPr>
          <w:trHeight w:val="319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716A" w14:textId="77777777" w:rsidR="00B306F1" w:rsidRPr="005D55EA" w:rsidRDefault="00B306F1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A53" w14:textId="77777777" w:rsidR="00B306F1" w:rsidRPr="005D55EA" w:rsidRDefault="00B306F1" w:rsidP="00A30B4C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28C" w14:textId="77777777" w:rsidR="00B306F1" w:rsidRPr="005D55EA" w:rsidRDefault="00B306F1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A05" w14:textId="77777777" w:rsidR="00B306F1" w:rsidRPr="005D55EA" w:rsidRDefault="00B306F1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FE65" w14:textId="77777777" w:rsidR="00B306F1" w:rsidRPr="005D55EA" w:rsidRDefault="00B306F1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3498" w14:textId="77777777" w:rsidR="00B306F1" w:rsidRPr="005D55EA" w:rsidRDefault="00B306F1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8522" w14:textId="77777777" w:rsidR="00B306F1" w:rsidRPr="005D55EA" w:rsidRDefault="00B306F1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41FE" w14:textId="77777777" w:rsidR="00B306F1" w:rsidRPr="005D55EA" w:rsidRDefault="00B306F1" w:rsidP="00A30B4C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</w:tbl>
    <w:p w14:paraId="5038DD18" w14:textId="77777777" w:rsidR="00B306F1" w:rsidRDefault="00B306F1" w:rsidP="00D94730">
      <w:pPr>
        <w:suppressAutoHyphens w:val="0"/>
        <w:spacing w:line="276" w:lineRule="auto"/>
        <w:ind w:firstLine="425"/>
        <w:jc w:val="both"/>
      </w:pPr>
    </w:p>
    <w:p w14:paraId="3086D050" w14:textId="77777777" w:rsidR="005D55EA" w:rsidRPr="005D55EA" w:rsidRDefault="00B306F1" w:rsidP="00D94730">
      <w:pPr>
        <w:suppressAutoHyphens w:val="0"/>
        <w:spacing w:line="276" w:lineRule="auto"/>
        <w:ind w:firstLine="425"/>
        <w:jc w:val="both"/>
      </w:pPr>
      <w:r>
        <w:lastRenderedPageBreak/>
        <w:t>2</w:t>
      </w:r>
      <w:r w:rsidR="005D55EA" w:rsidRPr="005D55EA">
        <w:t xml:space="preserve">) викласти пункт 2 «Поточний ремонт доріг з підсипкою (ліквідація розмивів, вимоїн, деформації і руйнувань земляного полотна)» пріоритету розвитку 3 «Забезпечення належного стану доріг для безпечного руху транспорту»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850"/>
        <w:gridCol w:w="992"/>
        <w:gridCol w:w="993"/>
        <w:gridCol w:w="1134"/>
        <w:gridCol w:w="992"/>
        <w:gridCol w:w="1417"/>
      </w:tblGrid>
      <w:tr w:rsidR="005D55EA" w:rsidRPr="005D55EA" w14:paraId="6264DDE2" w14:textId="77777777" w:rsidTr="00A30B4C">
        <w:trPr>
          <w:trHeight w:val="2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EF26ACC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60" w:type="dxa"/>
            <w:vMerge w:val="restart"/>
            <w:vAlign w:val="center"/>
          </w:tcPr>
          <w:p w14:paraId="74F7F6DD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850" w:type="dxa"/>
            <w:vMerge w:val="restart"/>
            <w:vAlign w:val="center"/>
          </w:tcPr>
          <w:p w14:paraId="67C6658F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14:paraId="413300BB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FE158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proofErr w:type="spellEnd"/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5D55EA" w14:paraId="62EA69B3" w14:textId="77777777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14:paraId="52A11D0A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09E3DEBB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05E45419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37B0459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16285D3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B4D208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14:paraId="27206F33" w14:textId="77777777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14:paraId="55E5EE57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70F5522C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0E5E68A2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6E0D210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E78708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401DF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871D2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736CC4" w14:textId="77777777"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5D55EA" w14:paraId="7BA41325" w14:textId="77777777" w:rsidTr="00C46E2D">
        <w:trPr>
          <w:trHeight w:val="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C2C2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4E09" w14:textId="77777777" w:rsidR="00B306F1" w:rsidRPr="005D55EA" w:rsidRDefault="00B306F1" w:rsidP="0037230E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0ACFF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9AB0C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14E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8DEC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8699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A30E" w14:textId="77777777"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  <w:tr w:rsidR="00B306F1" w:rsidRPr="005D55EA" w14:paraId="0B370EB9" w14:textId="77777777" w:rsidTr="00F91402">
        <w:trPr>
          <w:trHeight w:val="2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F6215" w14:textId="77777777" w:rsidR="00B306F1" w:rsidRPr="005D55EA" w:rsidRDefault="00B306F1" w:rsidP="009340F0">
            <w:pPr>
              <w:contextualSpacing/>
              <w:rPr>
                <w:bCs/>
              </w:rPr>
            </w:pPr>
            <w:r w:rsidRPr="00D94730">
              <w:t>3. Забезпечення належного стану доріг для безпечного руху транспорту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259" w14:textId="77777777" w:rsidR="00B306F1" w:rsidRPr="005D55EA" w:rsidRDefault="00B306F1" w:rsidP="009340F0">
            <w:pPr>
              <w:contextualSpacing/>
            </w:pPr>
            <w:r w:rsidRPr="005D55EA">
              <w:rPr>
                <w:bCs/>
              </w:rPr>
              <w:t>2)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0B754" w14:textId="77777777" w:rsidR="00B306F1" w:rsidRPr="005D55EA" w:rsidRDefault="00B306F1" w:rsidP="00B306F1">
            <w:pPr>
              <w:ind w:left="-108" w:right="-108"/>
              <w:jc w:val="center"/>
              <w:rPr>
                <w:bCs/>
              </w:rPr>
            </w:pPr>
            <w:r w:rsidRPr="005D55EA">
              <w:t>Бюджет Ромен</w:t>
            </w:r>
            <w:r>
              <w:t>-</w:t>
            </w:r>
            <w:proofErr w:type="spellStart"/>
            <w:r w:rsidRPr="005D55EA">
              <w:t>ської</w:t>
            </w:r>
            <w:proofErr w:type="spellEnd"/>
            <w:r w:rsidRPr="005D55EA">
              <w:t xml:space="preserve"> МТГ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5F7CC" w14:textId="77777777" w:rsidR="00B306F1" w:rsidRPr="005D55EA" w:rsidRDefault="00B306F1" w:rsidP="00B306F1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D55E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5D55EA">
              <w:rPr>
                <w:b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E44" w14:textId="77777777" w:rsidR="00B306F1" w:rsidRPr="005D55EA" w:rsidRDefault="00B306F1" w:rsidP="009340F0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104</w:t>
            </w:r>
            <w:r w:rsidRPr="005D55EA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302D" w14:textId="77777777" w:rsidR="00B306F1" w:rsidRPr="005D55EA" w:rsidRDefault="00B306F1" w:rsidP="009340F0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5D55EA">
              <w:rPr>
                <w:b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EE0A" w14:textId="77777777" w:rsidR="00B306F1" w:rsidRPr="005D55EA" w:rsidRDefault="00B306F1" w:rsidP="005D55EA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5D55EA">
              <w:rPr>
                <w:bCs/>
              </w:rPr>
              <w:t>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B840" w14:textId="77777777" w:rsidR="00B306F1" w:rsidRPr="005D55EA" w:rsidRDefault="00B306F1" w:rsidP="00B306F1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5D55EA">
              <w:t>Покращення дорожньо-транспортної мережі</w:t>
            </w:r>
          </w:p>
        </w:tc>
      </w:tr>
      <w:tr w:rsidR="00B306F1" w:rsidRPr="005D55EA" w14:paraId="33D21E9A" w14:textId="77777777" w:rsidTr="00A30B4C">
        <w:trPr>
          <w:trHeight w:val="319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9945" w14:textId="77777777" w:rsidR="00B306F1" w:rsidRPr="005D55EA" w:rsidRDefault="00B306F1" w:rsidP="0062411C">
            <w:pPr>
              <w:spacing w:line="276" w:lineRule="auto"/>
              <w:jc w:val="center"/>
              <w:rPr>
                <w:bCs/>
              </w:rPr>
            </w:pPr>
            <w:r w:rsidRPr="0062411C"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D742" w14:textId="77777777" w:rsidR="00B306F1" w:rsidRPr="005D55EA" w:rsidRDefault="00B306F1" w:rsidP="00A30B4C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4FE" w14:textId="77777777"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6AF9" w14:textId="77777777"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9CDC" w14:textId="77777777"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8BEB" w14:textId="77777777"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BB11" w14:textId="77777777" w:rsidR="00B306F1" w:rsidRPr="0062411C" w:rsidRDefault="00B306F1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6F63" w14:textId="77777777" w:rsidR="00B306F1" w:rsidRPr="005D55EA" w:rsidRDefault="00B306F1" w:rsidP="0062411C">
            <w:pPr>
              <w:spacing w:line="276" w:lineRule="auto"/>
              <w:jc w:val="center"/>
            </w:pPr>
            <w:r>
              <w:t>…</w:t>
            </w:r>
          </w:p>
        </w:tc>
      </w:tr>
    </w:tbl>
    <w:p w14:paraId="1EECDAAE" w14:textId="77777777" w:rsidR="00A30B4C" w:rsidRDefault="00A30B4C" w:rsidP="005C174F">
      <w:pPr>
        <w:widowControl w:val="0"/>
        <w:contextualSpacing/>
        <w:rPr>
          <w:rFonts w:eastAsia="Calibri"/>
          <w:b/>
          <w:lang w:eastAsia="uk-UA"/>
        </w:rPr>
      </w:pPr>
    </w:p>
    <w:p w14:paraId="7F8E0BCA" w14:textId="77777777" w:rsidR="00B306F1" w:rsidRDefault="00B306F1" w:rsidP="005C174F">
      <w:pPr>
        <w:widowControl w:val="0"/>
        <w:contextualSpacing/>
        <w:rPr>
          <w:rFonts w:eastAsia="Calibri"/>
          <w:b/>
          <w:lang w:eastAsia="uk-UA"/>
        </w:rPr>
      </w:pPr>
    </w:p>
    <w:p w14:paraId="076748A3" w14:textId="77777777" w:rsidR="005C174F" w:rsidRPr="007A74A8" w:rsidRDefault="005C174F" w:rsidP="005C174F">
      <w:pPr>
        <w:widowControl w:val="0"/>
        <w:contextualSpacing/>
        <w:rPr>
          <w:rFonts w:eastAsia="Calibri"/>
          <w:b/>
          <w:lang w:eastAsia="uk-UA"/>
        </w:rPr>
      </w:pPr>
      <w:r w:rsidRPr="007A74A8">
        <w:rPr>
          <w:rFonts w:eastAsia="Calibri"/>
          <w:b/>
          <w:lang w:eastAsia="uk-UA"/>
        </w:rPr>
        <w:t>Міський голова</w:t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  <w:t>Олег СТОГНІЙ</w:t>
      </w:r>
    </w:p>
    <w:p w14:paraId="205A3942" w14:textId="77777777" w:rsidR="00B306F1" w:rsidRDefault="00B306F1" w:rsidP="005D55EA">
      <w:pPr>
        <w:jc w:val="center"/>
        <w:rPr>
          <w:b/>
        </w:rPr>
      </w:pPr>
    </w:p>
    <w:p w14:paraId="40535A9D" w14:textId="77777777" w:rsidR="00B306F1" w:rsidRDefault="00B306F1" w:rsidP="005D55EA">
      <w:pPr>
        <w:jc w:val="center"/>
        <w:rPr>
          <w:b/>
        </w:rPr>
      </w:pPr>
    </w:p>
    <w:p w14:paraId="58C8175E" w14:textId="77777777" w:rsidR="00B306F1" w:rsidRDefault="00B306F1" w:rsidP="005D55EA">
      <w:pPr>
        <w:jc w:val="center"/>
        <w:rPr>
          <w:b/>
        </w:rPr>
      </w:pPr>
    </w:p>
    <w:p w14:paraId="0F35654A" w14:textId="77777777" w:rsidR="00B306F1" w:rsidRDefault="00B306F1" w:rsidP="005D55EA">
      <w:pPr>
        <w:jc w:val="center"/>
        <w:rPr>
          <w:b/>
        </w:rPr>
      </w:pPr>
    </w:p>
    <w:p w14:paraId="0E7B9031" w14:textId="77777777" w:rsidR="00B306F1" w:rsidRDefault="00B306F1" w:rsidP="005D55EA">
      <w:pPr>
        <w:jc w:val="center"/>
        <w:rPr>
          <w:b/>
        </w:rPr>
      </w:pPr>
    </w:p>
    <w:p w14:paraId="35576624" w14:textId="77777777" w:rsidR="00B306F1" w:rsidRDefault="00B306F1" w:rsidP="005D55EA">
      <w:pPr>
        <w:jc w:val="center"/>
        <w:rPr>
          <w:b/>
        </w:rPr>
      </w:pPr>
    </w:p>
    <w:p w14:paraId="74F651B6" w14:textId="77777777" w:rsidR="00B306F1" w:rsidRDefault="00B306F1" w:rsidP="005D55EA">
      <w:pPr>
        <w:jc w:val="center"/>
        <w:rPr>
          <w:b/>
        </w:rPr>
      </w:pPr>
    </w:p>
    <w:p w14:paraId="28A99CC5" w14:textId="77777777" w:rsidR="00B306F1" w:rsidRDefault="00B306F1" w:rsidP="005D55EA">
      <w:pPr>
        <w:jc w:val="center"/>
        <w:rPr>
          <w:b/>
        </w:rPr>
      </w:pPr>
    </w:p>
    <w:p w14:paraId="0DEFE98B" w14:textId="77777777" w:rsidR="00B306F1" w:rsidRDefault="00B306F1" w:rsidP="005D55EA">
      <w:pPr>
        <w:jc w:val="center"/>
        <w:rPr>
          <w:b/>
        </w:rPr>
      </w:pPr>
    </w:p>
    <w:p w14:paraId="47DF20E9" w14:textId="77777777" w:rsidR="00B306F1" w:rsidRDefault="00B306F1" w:rsidP="005D55EA">
      <w:pPr>
        <w:jc w:val="center"/>
        <w:rPr>
          <w:b/>
        </w:rPr>
      </w:pPr>
    </w:p>
    <w:p w14:paraId="55FE52F3" w14:textId="77777777" w:rsidR="00B306F1" w:rsidRDefault="00B306F1" w:rsidP="005D55EA">
      <w:pPr>
        <w:jc w:val="center"/>
        <w:rPr>
          <w:b/>
        </w:rPr>
      </w:pPr>
    </w:p>
    <w:p w14:paraId="18C118FC" w14:textId="77777777" w:rsidR="00B306F1" w:rsidRDefault="00B306F1" w:rsidP="005D55EA">
      <w:pPr>
        <w:jc w:val="center"/>
        <w:rPr>
          <w:b/>
        </w:rPr>
      </w:pPr>
    </w:p>
    <w:p w14:paraId="42E833D1" w14:textId="77777777" w:rsidR="00B306F1" w:rsidRDefault="00B306F1" w:rsidP="005D55EA">
      <w:pPr>
        <w:jc w:val="center"/>
        <w:rPr>
          <w:b/>
        </w:rPr>
      </w:pPr>
    </w:p>
    <w:p w14:paraId="6118C293" w14:textId="77777777" w:rsidR="00B306F1" w:rsidRDefault="00B306F1" w:rsidP="005D55EA">
      <w:pPr>
        <w:jc w:val="center"/>
        <w:rPr>
          <w:b/>
        </w:rPr>
      </w:pPr>
    </w:p>
    <w:p w14:paraId="0DED5F97" w14:textId="77777777" w:rsidR="00B306F1" w:rsidRDefault="00B306F1" w:rsidP="005D55EA">
      <w:pPr>
        <w:jc w:val="center"/>
        <w:rPr>
          <w:b/>
        </w:rPr>
      </w:pPr>
    </w:p>
    <w:p w14:paraId="6678E3B1" w14:textId="77777777" w:rsidR="00B306F1" w:rsidRDefault="00B306F1" w:rsidP="005D55EA">
      <w:pPr>
        <w:jc w:val="center"/>
        <w:rPr>
          <w:b/>
        </w:rPr>
      </w:pPr>
    </w:p>
    <w:p w14:paraId="46C3F436" w14:textId="77777777" w:rsidR="00B306F1" w:rsidRDefault="00B306F1" w:rsidP="005D55EA">
      <w:pPr>
        <w:jc w:val="center"/>
        <w:rPr>
          <w:b/>
        </w:rPr>
      </w:pPr>
    </w:p>
    <w:p w14:paraId="667C9F92" w14:textId="77777777" w:rsidR="00B306F1" w:rsidRDefault="00B306F1" w:rsidP="005D55EA">
      <w:pPr>
        <w:jc w:val="center"/>
        <w:rPr>
          <w:b/>
        </w:rPr>
      </w:pPr>
    </w:p>
    <w:p w14:paraId="560289B7" w14:textId="77777777" w:rsidR="00B306F1" w:rsidRDefault="00B306F1" w:rsidP="005D55EA">
      <w:pPr>
        <w:jc w:val="center"/>
        <w:rPr>
          <w:b/>
        </w:rPr>
      </w:pPr>
    </w:p>
    <w:p w14:paraId="3A6A1DFA" w14:textId="77777777" w:rsidR="00B306F1" w:rsidRDefault="00B306F1" w:rsidP="005D55EA">
      <w:pPr>
        <w:jc w:val="center"/>
        <w:rPr>
          <w:b/>
        </w:rPr>
      </w:pPr>
    </w:p>
    <w:p w14:paraId="140CDA43" w14:textId="77777777" w:rsidR="00B306F1" w:rsidRDefault="00B306F1" w:rsidP="005D55EA">
      <w:pPr>
        <w:jc w:val="center"/>
        <w:rPr>
          <w:b/>
        </w:rPr>
      </w:pPr>
    </w:p>
    <w:p w14:paraId="4C1DF908" w14:textId="77777777" w:rsidR="00B306F1" w:rsidRDefault="00B306F1" w:rsidP="005D55EA">
      <w:pPr>
        <w:jc w:val="center"/>
        <w:rPr>
          <w:b/>
        </w:rPr>
      </w:pPr>
    </w:p>
    <w:p w14:paraId="34E786B1" w14:textId="77777777" w:rsidR="00B306F1" w:rsidRDefault="00B306F1" w:rsidP="005D55EA">
      <w:pPr>
        <w:jc w:val="center"/>
        <w:rPr>
          <w:b/>
        </w:rPr>
      </w:pPr>
    </w:p>
    <w:p w14:paraId="31270586" w14:textId="77777777" w:rsidR="00B306F1" w:rsidRDefault="00B306F1" w:rsidP="005D55EA">
      <w:pPr>
        <w:jc w:val="center"/>
        <w:rPr>
          <w:b/>
        </w:rPr>
      </w:pPr>
    </w:p>
    <w:p w14:paraId="410BBB9F" w14:textId="77777777" w:rsidR="00B306F1" w:rsidRDefault="00B306F1" w:rsidP="005D55EA">
      <w:pPr>
        <w:jc w:val="center"/>
        <w:rPr>
          <w:b/>
        </w:rPr>
      </w:pPr>
    </w:p>
    <w:p w14:paraId="7A29A9B6" w14:textId="77777777" w:rsidR="00B306F1" w:rsidRDefault="00B306F1" w:rsidP="005D55EA">
      <w:pPr>
        <w:jc w:val="center"/>
        <w:rPr>
          <w:b/>
        </w:rPr>
      </w:pPr>
    </w:p>
    <w:p w14:paraId="2B609AFD" w14:textId="77777777" w:rsidR="00B306F1" w:rsidRDefault="00B306F1" w:rsidP="005D55EA">
      <w:pPr>
        <w:jc w:val="center"/>
        <w:rPr>
          <w:b/>
        </w:rPr>
      </w:pPr>
    </w:p>
    <w:p w14:paraId="342696BB" w14:textId="77777777" w:rsidR="004E3375" w:rsidRDefault="004E3375" w:rsidP="004E3375">
      <w:pPr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14:paraId="47714DF6" w14:textId="77777777" w:rsidR="004E3375" w:rsidRDefault="004E3375" w:rsidP="004E3375">
      <w:pPr>
        <w:jc w:val="center"/>
        <w:rPr>
          <w:b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Роменської міської ради</w:t>
      </w:r>
    </w:p>
    <w:p w14:paraId="60C8C1E3" w14:textId="77777777" w:rsidR="004E3375" w:rsidRDefault="004E3375" w:rsidP="004E337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</w:t>
      </w:r>
      <w:r w:rsidRPr="00D97690">
        <w:rPr>
          <w:b/>
          <w:lang w:val="uk-UA"/>
        </w:rPr>
        <w:t>Програми благоустрою населених пунктів Роменської міської територіальної громади на 2024-2026 роки</w:t>
      </w:r>
      <w:r>
        <w:rPr>
          <w:b/>
          <w:bCs/>
          <w:lang w:val="uk-UA"/>
        </w:rPr>
        <w:t>»</w:t>
      </w:r>
    </w:p>
    <w:p w14:paraId="10C31468" w14:textId="77777777" w:rsidR="004E3375" w:rsidRDefault="004E3375" w:rsidP="004E337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14:paraId="26F2A5AF" w14:textId="77777777" w:rsidR="004E3375" w:rsidRDefault="004E3375" w:rsidP="004E3375">
      <w:pPr>
        <w:tabs>
          <w:tab w:val="left" w:pos="3969"/>
        </w:tabs>
        <w:suppressAutoHyphens w:val="0"/>
        <w:spacing w:line="273" w:lineRule="auto"/>
        <w:ind w:firstLine="680"/>
        <w:jc w:val="both"/>
        <w:rPr>
          <w:color w:val="000000"/>
          <w:lang w:eastAsia="ru-RU"/>
        </w:rPr>
      </w:pPr>
      <w:proofErr w:type="spellStart"/>
      <w:r>
        <w:t>Проєкт</w:t>
      </w:r>
      <w:proofErr w:type="spellEnd"/>
      <w:r>
        <w:t xml:space="preserve"> рішення міської ради розроблено з метою уточнення показників та заходів </w:t>
      </w:r>
      <w:r w:rsidRPr="002D09A7">
        <w:t xml:space="preserve">Програми благоустрою населених пунктів Роменської міської територіальної громади на 2024-2026 роки </w:t>
      </w:r>
      <w:r>
        <w:rPr>
          <w:color w:val="000000"/>
          <w:lang w:eastAsia="ru-RU"/>
        </w:rPr>
        <w:t>(далі – Програма).</w:t>
      </w:r>
    </w:p>
    <w:p w14:paraId="45CB047D" w14:textId="77777777" w:rsidR="004E3375" w:rsidRPr="00D15596" w:rsidRDefault="004E3375" w:rsidP="004E3375">
      <w:pPr>
        <w:tabs>
          <w:tab w:val="left" w:pos="3969"/>
        </w:tabs>
        <w:spacing w:line="273" w:lineRule="auto"/>
        <w:ind w:firstLine="680"/>
        <w:jc w:val="both"/>
      </w:pPr>
      <w:proofErr w:type="spellStart"/>
      <w:r>
        <w:t>Проєкт</w:t>
      </w:r>
      <w:proofErr w:type="spellEnd"/>
      <w:r>
        <w:t xml:space="preserve"> р</w:t>
      </w:r>
      <w:r w:rsidRPr="00D15596">
        <w:t>ішення передбачає внесення таких змін до Програми щодо обсягів фі</w:t>
      </w:r>
      <w:r>
        <w:t>нансування</w:t>
      </w:r>
      <w:r w:rsidRPr="00D15596">
        <w:t>:</w:t>
      </w:r>
    </w:p>
    <w:p w14:paraId="1878080E" w14:textId="77777777" w:rsidR="004E3375" w:rsidRDefault="004E3375" w:rsidP="004E3375">
      <w:pPr>
        <w:tabs>
          <w:tab w:val="left" w:pos="3969"/>
        </w:tabs>
        <w:spacing w:line="273" w:lineRule="auto"/>
        <w:ind w:firstLine="680"/>
        <w:jc w:val="both"/>
      </w:pPr>
      <w:r w:rsidRPr="00D15596">
        <w:t xml:space="preserve">1. </w:t>
      </w:r>
      <w:r w:rsidRPr="00CC233C">
        <w:t>З</w:t>
      </w:r>
      <w:r>
        <w:t>більшення</w:t>
      </w:r>
      <w:r w:rsidRPr="00CC233C">
        <w:t xml:space="preserve"> обсяг</w:t>
      </w:r>
      <w:r>
        <w:t>у</w:t>
      </w:r>
      <w:r w:rsidRPr="00CC233C">
        <w:t xml:space="preserve"> фінансування у 2024 році </w:t>
      </w:r>
      <w:r>
        <w:t>у пункті 4 «У</w:t>
      </w:r>
      <w:r w:rsidRPr="00085982">
        <w:t>тримання клумб, квітників, газонів, скверів</w:t>
      </w:r>
      <w:r>
        <w:t>» пріоритету розвитку «</w:t>
      </w:r>
      <w:r w:rsidRPr="00DF22DF">
        <w:t>Збереження та утримання на належному рівні зеленої зони населеного пункту та поліпшення його екологічних умов</w:t>
      </w:r>
      <w:r>
        <w:t xml:space="preserve">» на 30,000 тис. грн (з 130,000 тис. грн </w:t>
      </w:r>
      <w:r w:rsidR="009F7181">
        <w:t>на</w:t>
      </w:r>
      <w:r>
        <w:t xml:space="preserve"> 160,000 тис. грн);</w:t>
      </w:r>
    </w:p>
    <w:p w14:paraId="4FD9AFFE" w14:textId="77777777" w:rsidR="004E3375" w:rsidRDefault="004E3375" w:rsidP="004E3375">
      <w:pPr>
        <w:tabs>
          <w:tab w:val="left" w:pos="3969"/>
        </w:tabs>
        <w:suppressAutoHyphens w:val="0"/>
        <w:spacing w:line="273" w:lineRule="auto"/>
        <w:ind w:firstLine="680"/>
        <w:jc w:val="both"/>
      </w:pPr>
      <w:r>
        <w:t>2. Зменшення обсягу фінансування у 2024 році у пункті 2 «П</w:t>
      </w:r>
      <w:r w:rsidRPr="00171935">
        <w:t>оточний ремонт доріг з підсипкою (ліквідація розмивів, вимоїн, деформації і руйнувань земляного полотна)</w:t>
      </w:r>
      <w:r>
        <w:t>»</w:t>
      </w:r>
      <w:r w:rsidRPr="001F6805">
        <w:t xml:space="preserve"> </w:t>
      </w:r>
      <w:r>
        <w:t>пріоритету розвитку «</w:t>
      </w:r>
      <w:r w:rsidRPr="002E0225">
        <w:t>Забезпечення належного стану доріг для безпечного руху транспорту</w:t>
      </w:r>
      <w:r>
        <w:t>»</w:t>
      </w:r>
      <w:r w:rsidRPr="0062411C">
        <w:t xml:space="preserve"> </w:t>
      </w:r>
      <w:r>
        <w:t xml:space="preserve">на 30,000 тис. грн (з 1 070,000 тис. грн </w:t>
      </w:r>
      <w:r w:rsidR="009F7181">
        <w:t>на</w:t>
      </w:r>
      <w:r>
        <w:t xml:space="preserve"> 1 040,000 тис. грн).</w:t>
      </w:r>
    </w:p>
    <w:p w14:paraId="6D4171DF" w14:textId="77777777" w:rsidR="004E3375" w:rsidRDefault="004E3375" w:rsidP="004E3375">
      <w:pPr>
        <w:tabs>
          <w:tab w:val="left" w:pos="3969"/>
        </w:tabs>
        <w:suppressAutoHyphens w:val="0"/>
        <w:spacing w:line="273" w:lineRule="auto"/>
        <w:ind w:firstLine="680"/>
        <w:jc w:val="both"/>
      </w:pPr>
      <w:r w:rsidRPr="004C235C">
        <w:t>Загальний обсяг фінансових ресурсів, необхідних для реалізації Програми,</w:t>
      </w:r>
      <w:r>
        <w:t xml:space="preserve"> не змінюється.</w:t>
      </w:r>
    </w:p>
    <w:p w14:paraId="02BA669C" w14:textId="77777777" w:rsidR="004E3375" w:rsidRDefault="004E3375" w:rsidP="004E3375">
      <w:pPr>
        <w:tabs>
          <w:tab w:val="left" w:pos="3969"/>
        </w:tabs>
        <w:suppressAutoHyphens w:val="0"/>
        <w:spacing w:line="273" w:lineRule="auto"/>
        <w:ind w:firstLine="680"/>
        <w:jc w:val="both"/>
      </w:pPr>
    </w:p>
    <w:p w14:paraId="43FF260B" w14:textId="77777777" w:rsidR="004E3375" w:rsidRDefault="004E3375" w:rsidP="004E337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14:paraId="2E6356C1" w14:textId="77777777" w:rsidR="004E3375" w:rsidRDefault="004E3375" w:rsidP="004E3375">
      <w:pPr>
        <w:spacing w:line="271" w:lineRule="auto"/>
      </w:pPr>
      <w:r>
        <w:rPr>
          <w:b/>
          <w:bCs/>
          <w:color w:val="000000"/>
        </w:rPr>
        <w:t xml:space="preserve">Начальник управління </w:t>
      </w:r>
    </w:p>
    <w:p w14:paraId="34040407" w14:textId="77777777" w:rsidR="004E3375" w:rsidRDefault="004E3375" w:rsidP="004E3375">
      <w:pPr>
        <w:spacing w:line="271" w:lineRule="auto"/>
      </w:pPr>
      <w:r>
        <w:rPr>
          <w:b/>
          <w:bCs/>
          <w:color w:val="000000"/>
        </w:rPr>
        <w:t xml:space="preserve">житлово-комунального господарства </w:t>
      </w:r>
    </w:p>
    <w:p w14:paraId="191B5930" w14:textId="77777777" w:rsidR="004E3375" w:rsidRDefault="004E3375" w:rsidP="004E3375">
      <w:pPr>
        <w:spacing w:line="271" w:lineRule="auto"/>
      </w:pPr>
      <w:r>
        <w:rPr>
          <w:b/>
          <w:bCs/>
          <w:color w:val="000000"/>
        </w:rPr>
        <w:t>Роменської міської ради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Олена ГРЕБЕНЮК</w:t>
      </w:r>
    </w:p>
    <w:p w14:paraId="49393558" w14:textId="77777777" w:rsidR="004E3375" w:rsidRDefault="004E3375" w:rsidP="004E3375">
      <w:pPr>
        <w:spacing w:line="271" w:lineRule="auto"/>
      </w:pPr>
      <w:r>
        <w:t> </w:t>
      </w:r>
    </w:p>
    <w:p w14:paraId="32C03F92" w14:textId="77777777" w:rsidR="004E3375" w:rsidRPr="00CC233C" w:rsidRDefault="004E3375" w:rsidP="004E3375">
      <w:pPr>
        <w:spacing w:line="273" w:lineRule="auto"/>
      </w:pPr>
      <w:r w:rsidRPr="00CC233C">
        <w:rPr>
          <w:b/>
          <w:bCs/>
        </w:rPr>
        <w:t>Погоджено</w:t>
      </w:r>
    </w:p>
    <w:p w14:paraId="14538C46" w14:textId="77777777" w:rsidR="004E3375" w:rsidRPr="00CC233C" w:rsidRDefault="004E3375" w:rsidP="004E3375">
      <w:pPr>
        <w:spacing w:line="273" w:lineRule="auto"/>
      </w:pPr>
      <w:r w:rsidRPr="00CC233C">
        <w:rPr>
          <w:b/>
          <w:bCs/>
        </w:rPr>
        <w:t>Керуючий справами виконкому</w:t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233C">
        <w:rPr>
          <w:b/>
          <w:bCs/>
        </w:rPr>
        <w:t>Наталія МОСКАЛЕНКО</w:t>
      </w:r>
    </w:p>
    <w:p w14:paraId="643910CD" w14:textId="77777777" w:rsidR="005414CD" w:rsidRDefault="005414CD" w:rsidP="004E3375">
      <w:pPr>
        <w:jc w:val="center"/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28F2"/>
    <w:rsid w:val="00F15E0E"/>
    <w:rsid w:val="00F16C94"/>
    <w:rsid w:val="00F20CAC"/>
    <w:rsid w:val="00F2318F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2F38"/>
    <w:rsid w:val="00FE5CF0"/>
    <w:rsid w:val="00FE6DBD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48CF"/>
  <w15:docId w15:val="{3840FCF2-E72E-4A7E-A695-753070BF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74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інтервалів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2492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Administrator</cp:lastModifiedBy>
  <cp:revision>2</cp:revision>
  <cp:lastPrinted>2024-02-16T09:45:00Z</cp:lastPrinted>
  <dcterms:created xsi:type="dcterms:W3CDTF">2024-08-19T08:06:00Z</dcterms:created>
  <dcterms:modified xsi:type="dcterms:W3CDTF">2024-08-19T08:06:00Z</dcterms:modified>
</cp:coreProperties>
</file>