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4E8" w:rsidRPr="004B38DC" w:rsidRDefault="005677E7" w:rsidP="001714E8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8" w:rsidRPr="004B38DC" w:rsidRDefault="005677E7" w:rsidP="00E655F4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714E8" w:rsidRPr="004B38DC" w:rsidRDefault="005677E7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C93765" w:rsidRPr="005B0CF4" w:rsidRDefault="00547D7E" w:rsidP="00C93765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СІМДЕСЯТ СЬОМА</w:t>
      </w:r>
      <w:r w:rsidR="005677E7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1714E8" w:rsidRPr="004E1F8A" w:rsidRDefault="005677E7" w:rsidP="00E655F4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1714E8" w:rsidRPr="005C134A" w:rsidRDefault="001714E8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3F3" w:rsidTr="001714E8">
        <w:tc>
          <w:tcPr>
            <w:tcW w:w="3190" w:type="dxa"/>
            <w:hideMark/>
          </w:tcPr>
          <w:p w:rsidR="001714E8" w:rsidRPr="00840ED0" w:rsidRDefault="00C72056" w:rsidP="00DB0C23">
            <w:pPr>
              <w:spacing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25</w:t>
            </w:r>
            <w:r w:rsidR="00595A3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</w:t>
            </w:r>
            <w:r w:rsidR="00AB0E6F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07</w:t>
            </w:r>
            <w:r w:rsidR="005677E7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714E8" w:rsidRPr="004B38DC" w:rsidRDefault="00376CDA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ahoma"/>
                <w:b/>
                <w:sz w:val="24"/>
                <w:lang w:val="uk-UA" w:eastAsia="en-US"/>
              </w:rPr>
              <w:t xml:space="preserve">    </w:t>
            </w:r>
            <w:r w:rsidR="005677E7"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714E8" w:rsidRPr="004B38DC" w:rsidRDefault="001714E8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76236" w:rsidRPr="00376236" w:rsidRDefault="005677E7" w:rsidP="00DB0C23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внесення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змін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</w:t>
      </w:r>
      <w:r w:rsidR="00C93765" w:rsidRPr="00C9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376236" w:rsidRP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="00DB0C23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враховуючи 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лист директора </w:t>
      </w:r>
      <w:r w:rsidR="006B34C2" w:rsidRP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Комунального підприємства «Комбінат Комунальних підприємств» Роменської міської ради </w:t>
      </w:r>
      <w:r w:rsidR="00AB0E6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 09.07.2024 № 426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протокол засідання наглядової ради </w:t>
      </w:r>
      <w:r w:rsidR="00DB0C23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КП «ККП» РМР 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 14.12.2023 № 3, </w:t>
      </w:r>
      <w:r w:rsidR="00C93765" w:rsidRPr="00C9376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376236" w:rsidRPr="00376236" w:rsidRDefault="005677E7" w:rsidP="00E6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Внести</w:t>
      </w:r>
      <w:proofErr w:type="spellEnd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такі зміни до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затвердженої рішенням міської ради від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.0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4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(далі – Програма):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такій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1143F3" w:rsidTr="00C93765">
        <w:trPr>
          <w:trHeight w:val="508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1143F3" w:rsidTr="00C93765">
        <w:trPr>
          <w:trHeight w:val="7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1143F3" w:rsidTr="00C93765">
        <w:trPr>
          <w:trHeight w:val="525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1143F3" w:rsidTr="00C93765">
        <w:trPr>
          <w:trHeight w:val="130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22" w:type="dxa"/>
          </w:tcPr>
          <w:p w:rsidR="00C93765" w:rsidRPr="00C93765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76236" w:rsidRPr="00376236" w:rsidRDefault="00C93765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376236" w:rsidRPr="00376236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143F3" w:rsidTr="00C93765">
        <w:trPr>
          <w:trHeight w:val="699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1143F3" w:rsidTr="00C93765">
        <w:trPr>
          <w:trHeight w:val="8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22" w:type="dxa"/>
          </w:tcPr>
          <w:p w:rsidR="00376236" w:rsidRPr="00682766" w:rsidRDefault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76236" w:rsidRPr="00682766" w:rsidRDefault="00AB0E6F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3 6</w:t>
            </w:r>
            <w:r w:rsidR="0096293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92,</w:t>
            </w:r>
            <w:r w:rsidR="00B82B2A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486</w:t>
            </w:r>
            <w:r w:rsidR="005D6E6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4A1AD6">
        <w:trPr>
          <w:trHeight w:val="557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376236" w:rsidRPr="00682766" w:rsidRDefault="00AB0E6F" w:rsidP="004A1AD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3 6</w:t>
            </w:r>
            <w:r w:rsidR="0096293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92,</w:t>
            </w:r>
            <w:r w:rsidR="00B82B2A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486</w:t>
            </w:r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C93765">
        <w:trPr>
          <w:trHeight w:val="143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5D6E62" w:rsidRDefault="005D6E62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2) викласти додаток «Перелік заходів та обсяги фінансування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="00E655F4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новій редакції згідно з додатком до цього рішення.</w:t>
      </w:r>
    </w:p>
    <w:p w:rsidR="002B0CE4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2B0CE4" w:rsidRDefault="002B0CE4" w:rsidP="002B0CE4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2B0CE4" w:rsidRPr="000446D9" w:rsidRDefault="005677E7" w:rsidP="002B0CE4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B0CE4" w:rsidRPr="000446D9" w:rsidRDefault="002B0CE4" w:rsidP="002B0C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0CE4" w:rsidRPr="00376236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p w:rsidR="00376236" w:rsidRPr="00376236" w:rsidRDefault="00376236" w:rsidP="00376236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376236" w:rsidRPr="00376236" w:rsidRDefault="00376236" w:rsidP="0037623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Додаток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C72056">
        <w:rPr>
          <w:rFonts w:ascii="Times New Roman" w:eastAsia="Times New Roman" w:hAnsi="Times New Roman"/>
          <w:b/>
          <w:sz w:val="24"/>
          <w:szCs w:val="24"/>
          <w:lang w:val="uk-UA"/>
        </w:rPr>
        <w:t>25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.0</w:t>
      </w:r>
      <w:r w:rsidR="00AB0E6F">
        <w:rPr>
          <w:rFonts w:ascii="Times New Roman" w:eastAsia="Times New Roman" w:hAnsi="Times New Roman"/>
          <w:b/>
          <w:sz w:val="24"/>
          <w:szCs w:val="24"/>
          <w:lang w:val="uk-UA"/>
        </w:rPr>
        <w:t>7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</w:t>
      </w:r>
      <w:r w:rsidR="00376C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93765">
        <w:rPr>
          <w:rFonts w:ascii="Times New Roman" w:hAnsi="Times New Roman"/>
          <w:b/>
          <w:sz w:val="24"/>
          <w:szCs w:val="24"/>
          <w:lang w:val="uk-UA"/>
        </w:rPr>
        <w:t>Роменської міс</w:t>
      </w:r>
      <w:bookmarkStart w:id="0" w:name="_GoBack"/>
      <w:bookmarkEnd w:id="0"/>
      <w:r w:rsidRPr="00C93765">
        <w:rPr>
          <w:rFonts w:ascii="Times New Roman" w:hAnsi="Times New Roman"/>
          <w:b/>
          <w:sz w:val="24"/>
          <w:szCs w:val="24"/>
          <w:lang w:val="uk-UA"/>
        </w:rPr>
        <w:t>ької ради» на 2024 рік</w:t>
      </w:r>
    </w:p>
    <w:p w:rsidR="00D05203" w:rsidRPr="00D05203" w:rsidRDefault="00D05203" w:rsidP="00D05203">
      <w:pPr>
        <w:spacing w:after="0"/>
        <w:ind w:left="0" w:hanging="2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05203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C93765" w:rsidRPr="00C93765" w:rsidRDefault="00C93765" w:rsidP="00C9376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1143F3" w:rsidTr="00962932">
        <w:trPr>
          <w:trHeight w:val="8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962932" w:rsidTr="00962932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«Комбінат комунальних підприємств» РМР»</w:t>
            </w:r>
          </w:p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AB0E6F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1 411,873</w:t>
            </w:r>
          </w:p>
        </w:tc>
      </w:tr>
      <w:tr w:rsidR="00962932" w:rsidTr="00962932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AB0E6F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310,6</w:t>
            </w:r>
            <w:r w:rsidR="00962932" w:rsidRPr="006827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962932" w:rsidTr="00962932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1 470,000</w:t>
            </w:r>
          </w:p>
        </w:tc>
      </w:tr>
      <w:tr w:rsidR="00962932" w:rsidTr="00962932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о</w:t>
            </w:r>
            <w:r w:rsidRPr="00B82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500,000</w:t>
            </w:r>
          </w:p>
        </w:tc>
      </w:tr>
      <w:tr w:rsidR="001143F3" w:rsidTr="0096293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RDefault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5677E7" w:rsidP="00962932">
            <w:pPr>
              <w:spacing w:after="0"/>
              <w:ind w:left="0" w:hanging="2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C93765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682766" w:rsidRDefault="00AB0E6F" w:rsidP="00962932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3 6</w:t>
            </w:r>
            <w:r w:rsidR="00962932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92,</w:t>
            </w:r>
            <w:r w:rsidR="00B82B2A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486</w:t>
            </w:r>
          </w:p>
        </w:tc>
      </w:tr>
    </w:tbl>
    <w:p w:rsidR="008A2CCD" w:rsidRDefault="008A2CCD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A5AC8" w:rsidRDefault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7EAD" w:rsidRPr="00E27EAD" w:rsidRDefault="00E27EAD" w:rsidP="00E27EAD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uk-UA" w:eastAsia="zh-CN"/>
        </w:rPr>
      </w:pP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E27EAD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236" w:rsidRPr="006A779C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376236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рішення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</w:p>
    <w:p w:rsidR="00376236" w:rsidRPr="004A1AD6" w:rsidRDefault="005677E7" w:rsidP="004A1AD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внесення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змін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 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376236" w:rsidRDefault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76236" w:rsidRPr="00137BD9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7BD9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37BD9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розроблено</w:t>
      </w:r>
      <w:r w:rsidR="005D6E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4C2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6B34C2" w:rsidRPr="006B34C2">
        <w:rPr>
          <w:rFonts w:ascii="Times New Roman" w:hAnsi="Times New Roman" w:cs="Times New Roman"/>
          <w:bCs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</w:t>
      </w:r>
      <w:r w:rsidR="006B34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6E62" w:rsidRPr="004A1AD6">
        <w:rPr>
          <w:rFonts w:ascii="Times New Roman" w:hAnsi="Times New Roman"/>
          <w:sz w:val="24"/>
          <w:szCs w:val="24"/>
          <w:lang w:val="uk-UA"/>
        </w:rPr>
        <w:t>Закону України «Про державну доп</w:t>
      </w:r>
      <w:r w:rsidR="005D6E62">
        <w:rPr>
          <w:rFonts w:ascii="Times New Roman" w:hAnsi="Times New Roman"/>
          <w:sz w:val="24"/>
          <w:szCs w:val="24"/>
          <w:lang w:val="uk-UA"/>
        </w:rPr>
        <w:t>омогу суб’єктам господарювання»,</w:t>
      </w:r>
      <w:r w:rsidR="005D6E62" w:rsidRPr="00682766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DB0C23">
        <w:rPr>
          <w:rFonts w:ascii="Times New Roman" w:hAnsi="Times New Roman"/>
          <w:sz w:val="24"/>
          <w:szCs w:val="24"/>
          <w:lang w:val="uk-UA"/>
        </w:rPr>
        <w:t>ідпунктів</w:t>
      </w:r>
      <w:r w:rsidR="005D6E62" w:rsidRPr="00682766">
        <w:rPr>
          <w:rFonts w:ascii="Times New Roman" w:hAnsi="Times New Roman"/>
          <w:sz w:val="24"/>
          <w:szCs w:val="24"/>
          <w:lang w:val="uk-UA"/>
        </w:rPr>
        <w:t xml:space="preserve"> 4, 5 пункту</w:t>
      </w:r>
      <w:r w:rsidR="005D6E62" w:rsidRPr="004A1AD6">
        <w:rPr>
          <w:rFonts w:ascii="Times New Roman" w:hAnsi="Times New Roman"/>
          <w:sz w:val="24"/>
          <w:szCs w:val="24"/>
          <w:lang w:val="uk-UA"/>
        </w:rPr>
        <w:t xml:space="preserve"> 3 постанови КМУ від 23.05.2018 № 420 «Про затвердження переліку послуг, що становлять загальний економічний інтерес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6B34C2" w:rsidRPr="006B34C2">
        <w:rPr>
          <w:rFonts w:ascii="Times New Roman" w:hAnsi="Times New Roman" w:cs="Times New Roman"/>
          <w:bCs/>
          <w:sz w:val="24"/>
          <w:szCs w:val="24"/>
          <w:lang w:val="uk-UA"/>
        </w:rPr>
        <w:t>листа директора Комунального підприємства «Комбінат Комунальних підприємств» Р</w:t>
      </w:r>
      <w:r w:rsidR="00AB0E6F">
        <w:rPr>
          <w:rFonts w:ascii="Times New Roman" w:hAnsi="Times New Roman" w:cs="Times New Roman"/>
          <w:bCs/>
          <w:sz w:val="24"/>
          <w:szCs w:val="24"/>
          <w:lang w:val="uk-UA"/>
        </w:rPr>
        <w:t>оменської міської ради від 09.07.2024 № 426</w:t>
      </w:r>
      <w:r w:rsidR="006B34C2" w:rsidRPr="006B34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протоколу засідання наглядової ради від 14.12.2023 </w:t>
      </w:r>
      <w:r w:rsidR="006B34C2" w:rsidRPr="005D6E62">
        <w:rPr>
          <w:rFonts w:ascii="Times New Roman" w:hAnsi="Times New Roman" w:cs="Times New Roman"/>
          <w:sz w:val="24"/>
          <w:szCs w:val="24"/>
          <w:lang w:val="uk-UA"/>
        </w:rPr>
        <w:t xml:space="preserve">№ 3 </w:t>
      </w:r>
      <w:r w:rsidR="005D6E62" w:rsidRPr="005D6E62">
        <w:rPr>
          <w:rFonts w:ascii="Times New Roman" w:hAnsi="Times New Roman" w:cs="Times New Roman"/>
          <w:sz w:val="24"/>
          <w:szCs w:val="24"/>
          <w:lang w:val="uk-UA"/>
        </w:rPr>
        <w:t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  <w:r w:rsidR="005D6E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1AD6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46D9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446D9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підприємством для Роменської міської територіальної громади, яке забезпечує вивезення, розміщення та захоронення твердих побутових відходів, вивезення рідких побутових відходів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тарифа</w:t>
      </w:r>
      <w:r>
        <w:rPr>
          <w:rFonts w:ascii="Times New Roman" w:hAnsi="Times New Roman"/>
          <w:sz w:val="24"/>
          <w:szCs w:val="24"/>
          <w:lang w:val="uk-UA"/>
        </w:rPr>
        <w:t>ми,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затверджени</w:t>
      </w:r>
      <w:r>
        <w:rPr>
          <w:rFonts w:ascii="Times New Roman" w:hAnsi="Times New Roman"/>
          <w:sz w:val="24"/>
          <w:szCs w:val="24"/>
          <w:lang w:val="uk-UA"/>
        </w:rPr>
        <w:t>ми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 № 10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A1AD6" w:rsidRPr="005F61FB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 моменту затвердження діючих тарифів відбулося неодноразов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підвищення</w:t>
      </w:r>
      <w:r w:rsidR="00C7205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рівня мінімальної заробітної плати,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цін на електроенергію,</w:t>
      </w:r>
      <w:r w:rsidR="005D6E6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1357">
        <w:rPr>
          <w:rFonts w:ascii="Times New Roman" w:hAnsi="Times New Roman"/>
          <w:sz w:val="24"/>
          <w:szCs w:val="24"/>
          <w:lang w:val="uk-UA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  <w:lang w:val="uk-UA"/>
        </w:rPr>
        <w:t xml:space="preserve">их та </w:t>
      </w:r>
      <w:r w:rsidRPr="00671357">
        <w:rPr>
          <w:rFonts w:ascii="Times New Roman" w:hAnsi="Times New Roman"/>
          <w:sz w:val="24"/>
          <w:szCs w:val="24"/>
          <w:lang w:val="uk-UA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6B34C2" w:rsidRPr="005D6E62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D6E62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D6E62">
        <w:rPr>
          <w:rFonts w:ascii="Times New Roman" w:hAnsi="Times New Roman"/>
          <w:sz w:val="24"/>
          <w:szCs w:val="24"/>
          <w:lang w:val="uk-UA"/>
        </w:rPr>
        <w:t xml:space="preserve"> рішення передбачає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внесення таких змін до Програми щодо заходів та обсягів фінансування:</w:t>
      </w:r>
    </w:p>
    <w:p w:rsidR="006B34C2" w:rsidRPr="005D6E6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Зміна Паспорту Програми у частині загального обсягу фінансових ресурсів, н</w:t>
      </w:r>
      <w:r w:rsidR="00AB0E6F">
        <w:rPr>
          <w:rFonts w:ascii="Times New Roman" w:hAnsi="Times New Roman"/>
          <w:sz w:val="24"/>
          <w:szCs w:val="24"/>
          <w:lang w:val="uk-UA"/>
        </w:rPr>
        <w:t>еобхідних для її реалізації на 3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 xml:space="preserve">00,000 тис. грн (з </w:t>
      </w:r>
      <w:r w:rsidR="00AB0E6F" w:rsidRPr="005D6E62">
        <w:rPr>
          <w:rFonts w:ascii="Times New Roman" w:hAnsi="Times New Roman"/>
          <w:sz w:val="24"/>
          <w:szCs w:val="24"/>
          <w:lang w:val="uk-UA"/>
        </w:rPr>
        <w:t xml:space="preserve">3 392,486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 xml:space="preserve">тис. грн на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3 692,486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тис. грн)</w:t>
      </w:r>
      <w:r w:rsidR="00DB0C23">
        <w:rPr>
          <w:rFonts w:ascii="Times New Roman" w:hAnsi="Times New Roman"/>
          <w:sz w:val="24"/>
          <w:szCs w:val="24"/>
          <w:lang w:val="uk-UA"/>
        </w:rPr>
        <w:t>.</w:t>
      </w:r>
    </w:p>
    <w:p w:rsidR="006B34C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Збільшення обсягів фінансування по заходу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«</w:t>
      </w:r>
      <w:r w:rsidR="00AB0E6F">
        <w:rPr>
          <w:rFonts w:ascii="Times New Roman" w:hAnsi="Times New Roman"/>
          <w:sz w:val="24"/>
          <w:szCs w:val="24"/>
          <w:lang w:val="uk-UA" w:eastAsia="en-US"/>
        </w:rPr>
        <w:t>З</w:t>
      </w:r>
      <w:r w:rsidR="00AB0E6F" w:rsidRPr="00AB0E6F">
        <w:rPr>
          <w:rFonts w:ascii="Times New Roman" w:hAnsi="Times New Roman"/>
          <w:sz w:val="24"/>
          <w:szCs w:val="24"/>
          <w:lang w:val="uk-UA" w:eastAsia="en-US"/>
        </w:rPr>
        <w:t>аробітна плата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на 245,900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(з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1 165,973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на 1 </w:t>
      </w:r>
      <w:r w:rsidR="007A5C61">
        <w:rPr>
          <w:rFonts w:ascii="Times New Roman" w:hAnsi="Times New Roman"/>
          <w:sz w:val="24"/>
          <w:szCs w:val="24"/>
          <w:lang w:val="uk-UA"/>
        </w:rPr>
        <w:t>41</w:t>
      </w:r>
      <w:r w:rsidR="00AB0E6F">
        <w:rPr>
          <w:rFonts w:ascii="Times New Roman" w:hAnsi="Times New Roman"/>
          <w:sz w:val="24"/>
          <w:szCs w:val="24"/>
          <w:lang w:val="uk-UA"/>
        </w:rPr>
        <w:t>1,873 тис грн)</w:t>
      </w:r>
      <w:r w:rsidR="00DB0C23">
        <w:rPr>
          <w:rFonts w:ascii="Times New Roman" w:hAnsi="Times New Roman"/>
          <w:sz w:val="24"/>
          <w:szCs w:val="24"/>
          <w:lang w:val="uk-UA"/>
        </w:rPr>
        <w:t>.</w:t>
      </w:r>
    </w:p>
    <w:p w:rsidR="00AB0E6F" w:rsidRPr="005D6E62" w:rsidRDefault="00AB0E6F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AB0E6F">
        <w:rPr>
          <w:rFonts w:ascii="Times New Roman" w:hAnsi="Times New Roman"/>
          <w:sz w:val="24"/>
          <w:szCs w:val="24"/>
          <w:lang w:val="uk-UA"/>
        </w:rPr>
        <w:t>Збільшення обсягів фінансування по заходу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B0E6F">
        <w:rPr>
          <w:rFonts w:ascii="Times New Roman" w:hAnsi="Times New Roman" w:cs="Times New Roman"/>
          <w:sz w:val="24"/>
          <w:szCs w:val="24"/>
          <w:lang w:val="uk-UA"/>
        </w:rPr>
        <w:t>рахування</w:t>
      </w:r>
      <w:proofErr w:type="spellEnd"/>
      <w:r w:rsidRPr="00AB0E6F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праці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на 54,1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00 </w:t>
      </w:r>
      <w:proofErr w:type="spellStart"/>
      <w:r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7A5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( з  </w:t>
      </w:r>
      <w:r>
        <w:rPr>
          <w:rFonts w:ascii="Times New Roman" w:hAnsi="Times New Roman"/>
          <w:sz w:val="24"/>
          <w:szCs w:val="24"/>
          <w:lang w:val="uk-UA"/>
        </w:rPr>
        <w:t>256,513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B0E6F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310,613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 тис грн)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970D8" w:rsidRDefault="00E970D8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6E62" w:rsidRDefault="005D6E62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76236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B82B2A" w:rsidRPr="00C26470" w:rsidRDefault="0096293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Керуючий</w:t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 xml:space="preserve"> справами виконком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sectPr w:rsidR="00B82B2A" w:rsidRPr="00C26470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867A6"/>
    <w:multiLevelType w:val="hybridMultilevel"/>
    <w:tmpl w:val="89D40B26"/>
    <w:lvl w:ilvl="0" w:tplc="BF5E1E0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A1488DE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2484E30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F762F2B2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52F04F6A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E94EE8D8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3221BB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851AA114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E4A6070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3EF0206"/>
    <w:multiLevelType w:val="hybridMultilevel"/>
    <w:tmpl w:val="B2E22F66"/>
    <w:lvl w:ilvl="0" w:tplc="513CBD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C82A7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62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7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3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0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A6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9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5CBD"/>
    <w:multiLevelType w:val="hybridMultilevel"/>
    <w:tmpl w:val="9A4CD0C8"/>
    <w:lvl w:ilvl="0" w:tplc="BC20ADD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85FCABF0" w:tentative="1">
      <w:start w:val="1"/>
      <w:numFmt w:val="lowerLetter"/>
      <w:lvlText w:val="%2."/>
      <w:lvlJc w:val="left"/>
      <w:pPr>
        <w:ind w:left="1078" w:hanging="360"/>
      </w:pPr>
    </w:lvl>
    <w:lvl w:ilvl="2" w:tplc="9450478E" w:tentative="1">
      <w:start w:val="1"/>
      <w:numFmt w:val="lowerRoman"/>
      <w:lvlText w:val="%3."/>
      <w:lvlJc w:val="right"/>
      <w:pPr>
        <w:ind w:left="1798" w:hanging="180"/>
      </w:pPr>
    </w:lvl>
    <w:lvl w:ilvl="3" w:tplc="8A2A0506" w:tentative="1">
      <w:start w:val="1"/>
      <w:numFmt w:val="decimal"/>
      <w:lvlText w:val="%4."/>
      <w:lvlJc w:val="left"/>
      <w:pPr>
        <w:ind w:left="2518" w:hanging="360"/>
      </w:pPr>
    </w:lvl>
    <w:lvl w:ilvl="4" w:tplc="1B3E659A" w:tentative="1">
      <w:start w:val="1"/>
      <w:numFmt w:val="lowerLetter"/>
      <w:lvlText w:val="%5."/>
      <w:lvlJc w:val="left"/>
      <w:pPr>
        <w:ind w:left="3238" w:hanging="360"/>
      </w:pPr>
    </w:lvl>
    <w:lvl w:ilvl="5" w:tplc="2828E9BE" w:tentative="1">
      <w:start w:val="1"/>
      <w:numFmt w:val="lowerRoman"/>
      <w:lvlText w:val="%6."/>
      <w:lvlJc w:val="right"/>
      <w:pPr>
        <w:ind w:left="3958" w:hanging="180"/>
      </w:pPr>
    </w:lvl>
    <w:lvl w:ilvl="6" w:tplc="CD082E6A" w:tentative="1">
      <w:start w:val="1"/>
      <w:numFmt w:val="decimal"/>
      <w:lvlText w:val="%7."/>
      <w:lvlJc w:val="left"/>
      <w:pPr>
        <w:ind w:left="4678" w:hanging="360"/>
      </w:pPr>
    </w:lvl>
    <w:lvl w:ilvl="7" w:tplc="1C900002" w:tentative="1">
      <w:start w:val="1"/>
      <w:numFmt w:val="lowerLetter"/>
      <w:lvlText w:val="%8."/>
      <w:lvlJc w:val="left"/>
      <w:pPr>
        <w:ind w:left="5398" w:hanging="360"/>
      </w:pPr>
    </w:lvl>
    <w:lvl w:ilvl="8" w:tplc="AC4ECE6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7C8033F"/>
    <w:multiLevelType w:val="hybridMultilevel"/>
    <w:tmpl w:val="42DA2C52"/>
    <w:lvl w:ilvl="0" w:tplc="235E2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CD"/>
    <w:rsid w:val="00010A8C"/>
    <w:rsid w:val="000243B0"/>
    <w:rsid w:val="00040885"/>
    <w:rsid w:val="000446D9"/>
    <w:rsid w:val="0005247E"/>
    <w:rsid w:val="000664FB"/>
    <w:rsid w:val="000B3B11"/>
    <w:rsid w:val="000E40AF"/>
    <w:rsid w:val="00104C0A"/>
    <w:rsid w:val="001143F3"/>
    <w:rsid w:val="00115A1A"/>
    <w:rsid w:val="00124099"/>
    <w:rsid w:val="00136B1F"/>
    <w:rsid w:val="00137AAC"/>
    <w:rsid w:val="00137BD9"/>
    <w:rsid w:val="00137D33"/>
    <w:rsid w:val="001437A2"/>
    <w:rsid w:val="001448BE"/>
    <w:rsid w:val="00150323"/>
    <w:rsid w:val="001524D1"/>
    <w:rsid w:val="001714E8"/>
    <w:rsid w:val="001724CA"/>
    <w:rsid w:val="00174FB7"/>
    <w:rsid w:val="001A1537"/>
    <w:rsid w:val="001A3C40"/>
    <w:rsid w:val="001C0A03"/>
    <w:rsid w:val="001F6488"/>
    <w:rsid w:val="002077C5"/>
    <w:rsid w:val="002107F1"/>
    <w:rsid w:val="00236481"/>
    <w:rsid w:val="00242B0A"/>
    <w:rsid w:val="0025383C"/>
    <w:rsid w:val="0026009B"/>
    <w:rsid w:val="002808FA"/>
    <w:rsid w:val="00291D98"/>
    <w:rsid w:val="002B0CE4"/>
    <w:rsid w:val="00376236"/>
    <w:rsid w:val="00376CDA"/>
    <w:rsid w:val="003A524B"/>
    <w:rsid w:val="003C3888"/>
    <w:rsid w:val="00407B5A"/>
    <w:rsid w:val="00440DF2"/>
    <w:rsid w:val="0049448E"/>
    <w:rsid w:val="004A1AD6"/>
    <w:rsid w:val="004B3008"/>
    <w:rsid w:val="004B38DC"/>
    <w:rsid w:val="004D57B5"/>
    <w:rsid w:val="004E1F8A"/>
    <w:rsid w:val="004E6D53"/>
    <w:rsid w:val="00547D7E"/>
    <w:rsid w:val="005677E7"/>
    <w:rsid w:val="00571AD9"/>
    <w:rsid w:val="0057565F"/>
    <w:rsid w:val="005860C6"/>
    <w:rsid w:val="00594C59"/>
    <w:rsid w:val="00595A30"/>
    <w:rsid w:val="005A150C"/>
    <w:rsid w:val="005B0CF4"/>
    <w:rsid w:val="005B211B"/>
    <w:rsid w:val="005C134A"/>
    <w:rsid w:val="005D6E62"/>
    <w:rsid w:val="005F4A31"/>
    <w:rsid w:val="005F61FB"/>
    <w:rsid w:val="00630237"/>
    <w:rsid w:val="00671357"/>
    <w:rsid w:val="00671973"/>
    <w:rsid w:val="00673D91"/>
    <w:rsid w:val="00682766"/>
    <w:rsid w:val="006A674E"/>
    <w:rsid w:val="006A779C"/>
    <w:rsid w:val="006A78EB"/>
    <w:rsid w:val="006B34C2"/>
    <w:rsid w:val="006B6231"/>
    <w:rsid w:val="006D1BA2"/>
    <w:rsid w:val="006F0B7E"/>
    <w:rsid w:val="007159B7"/>
    <w:rsid w:val="00731449"/>
    <w:rsid w:val="00743027"/>
    <w:rsid w:val="007674D0"/>
    <w:rsid w:val="00770029"/>
    <w:rsid w:val="00775C37"/>
    <w:rsid w:val="0078226E"/>
    <w:rsid w:val="0079625B"/>
    <w:rsid w:val="007A3044"/>
    <w:rsid w:val="007A5AB9"/>
    <w:rsid w:val="007A5C61"/>
    <w:rsid w:val="007C7E5E"/>
    <w:rsid w:val="007D6247"/>
    <w:rsid w:val="007D791E"/>
    <w:rsid w:val="007E54BF"/>
    <w:rsid w:val="008103AD"/>
    <w:rsid w:val="008234E2"/>
    <w:rsid w:val="00833FCB"/>
    <w:rsid w:val="00840ED0"/>
    <w:rsid w:val="008562B1"/>
    <w:rsid w:val="0087781E"/>
    <w:rsid w:val="00877C33"/>
    <w:rsid w:val="008A2CCD"/>
    <w:rsid w:val="008E493D"/>
    <w:rsid w:val="0091573D"/>
    <w:rsid w:val="00932100"/>
    <w:rsid w:val="0094359A"/>
    <w:rsid w:val="009474CC"/>
    <w:rsid w:val="00962932"/>
    <w:rsid w:val="009A5AC8"/>
    <w:rsid w:val="009C2B2A"/>
    <w:rsid w:val="009C5A71"/>
    <w:rsid w:val="009C5B8C"/>
    <w:rsid w:val="009C5BB3"/>
    <w:rsid w:val="009D1254"/>
    <w:rsid w:val="00A32234"/>
    <w:rsid w:val="00A85599"/>
    <w:rsid w:val="00AB0E6F"/>
    <w:rsid w:val="00AD1352"/>
    <w:rsid w:val="00B0282C"/>
    <w:rsid w:val="00B73F4C"/>
    <w:rsid w:val="00B82B2A"/>
    <w:rsid w:val="00B96091"/>
    <w:rsid w:val="00BE7ABF"/>
    <w:rsid w:val="00C0012B"/>
    <w:rsid w:val="00C02D96"/>
    <w:rsid w:val="00C0633F"/>
    <w:rsid w:val="00C26470"/>
    <w:rsid w:val="00C44832"/>
    <w:rsid w:val="00C66D4E"/>
    <w:rsid w:val="00C72056"/>
    <w:rsid w:val="00C822EB"/>
    <w:rsid w:val="00C93765"/>
    <w:rsid w:val="00CC4025"/>
    <w:rsid w:val="00CD373C"/>
    <w:rsid w:val="00CF3754"/>
    <w:rsid w:val="00D0042A"/>
    <w:rsid w:val="00D035DF"/>
    <w:rsid w:val="00D05203"/>
    <w:rsid w:val="00D40BA1"/>
    <w:rsid w:val="00D67A3B"/>
    <w:rsid w:val="00DB0C23"/>
    <w:rsid w:val="00DD50C6"/>
    <w:rsid w:val="00DE7D70"/>
    <w:rsid w:val="00E21A4E"/>
    <w:rsid w:val="00E27EAD"/>
    <w:rsid w:val="00E3522A"/>
    <w:rsid w:val="00E655F4"/>
    <w:rsid w:val="00E970D8"/>
    <w:rsid w:val="00EA248D"/>
    <w:rsid w:val="00EA4082"/>
    <w:rsid w:val="00EE123B"/>
    <w:rsid w:val="00F118B9"/>
    <w:rsid w:val="00F158C5"/>
    <w:rsid w:val="00F34F64"/>
    <w:rsid w:val="00F55FD5"/>
    <w:rsid w:val="00F66E93"/>
    <w:rsid w:val="00F70D51"/>
    <w:rsid w:val="00F7359C"/>
    <w:rsid w:val="00F75CFA"/>
    <w:rsid w:val="00FB496C"/>
    <w:rsid w:val="00FD3EB1"/>
    <w:rsid w:val="00FF075E"/>
    <w:rsid w:val="00FF4ECA"/>
    <w:rsid w:val="00FF59B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AD53"/>
  <w15:docId w15:val="{BB1A66D8-F9BA-48A6-ACD3-20B97A27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2CC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Обычны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23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30237"/>
    <w:rPr>
      <w:rFonts w:ascii="Segoe UI" w:hAnsi="Segoe UI" w:cs="Segoe UI"/>
      <w:position w:val="-1"/>
      <w:sz w:val="18"/>
      <w:szCs w:val="18"/>
      <w:lang w:val="ru-RU" w:eastAsia="ru-RU"/>
    </w:rPr>
  </w:style>
  <w:style w:type="paragraph" w:customStyle="1" w:styleId="10">
    <w:name w:val="Звичайний1"/>
    <w:rsid w:val="006B34C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9AF5-9FF0-499F-8084-3E3D78A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2024-07-26T07:59:00Z</cp:lastPrinted>
  <dcterms:created xsi:type="dcterms:W3CDTF">2024-07-16T07:11:00Z</dcterms:created>
  <dcterms:modified xsi:type="dcterms:W3CDTF">2024-07-26T08:00:00Z</dcterms:modified>
</cp:coreProperties>
</file>