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8F2" w:rsidRPr="00CA1D17" w:rsidRDefault="000337F3" w:rsidP="001F48F2">
      <w:pPr>
        <w:suppressAutoHyphens w:val="0"/>
        <w:spacing w:line="24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</w:rPr>
      </w:pPr>
      <w:r w:rsidRPr="00CA1D17">
        <w:rPr>
          <w:rFonts w:ascii="Calibri" w:eastAsia="Times New Roman" w:hAnsi="Calibri" w:cs="Times New Roman"/>
          <w:noProof/>
          <w:color w:val="auto"/>
          <w:kern w:val="0"/>
          <w:sz w:val="22"/>
          <w:szCs w:val="22"/>
          <w:lang w:val="ru-RU" w:eastAsia="ru-RU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F2" w:rsidRPr="00CA1D17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РОМЕНСЬКА МІСЬКА РАДА СУМСЬКОЇ ОБЛАСТІ</w:t>
      </w:r>
    </w:p>
    <w:p w:rsidR="001F48F2" w:rsidRPr="00CA6295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ВОСЬМЕ СКЛИКАННЯ</w:t>
      </w:r>
    </w:p>
    <w:p w:rsidR="001F48F2" w:rsidRPr="00CA6295" w:rsidRDefault="00CA6295" w:rsidP="001F48F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СІМДЕСЯТ ШОСТА</w:t>
      </w:r>
      <w:r w:rsidR="001F48F2"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 xml:space="preserve"> СЕСІЯ</w:t>
      </w:r>
    </w:p>
    <w:p w:rsidR="001F48F2" w:rsidRPr="00CA1D17" w:rsidRDefault="001F48F2" w:rsidP="001F48F2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1F48F2" w:rsidRPr="00CA1D17" w:rsidRDefault="00034DD3" w:rsidP="001F48F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2</w:t>
      </w:r>
      <w:r w:rsidR="009D4122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5</w:t>
      </w:r>
      <w:r w:rsidR="001F48F2" w:rsidRPr="00A71BE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.</w:t>
      </w:r>
      <w:r w:rsidR="00142A7C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7</w:t>
      </w:r>
      <w:r w:rsidR="001F48F2" w:rsidRPr="00A71BE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.202</w:t>
      </w:r>
      <w:r w:rsidR="00142A7C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4</w:t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  <w:t xml:space="preserve">               Ромни</w:t>
      </w:r>
    </w:p>
    <w:p w:rsidR="0012142E" w:rsidRPr="00AC1E8A" w:rsidRDefault="0012142E" w:rsidP="00CA629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AC1E8A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="00C91AFB" w:rsidRPr="00AC1E8A">
        <w:rPr>
          <w:rFonts w:ascii="Times New Roman" w:hAnsi="Times New Roman" w:cs="Times New Roman"/>
          <w:b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  <w:b/>
        </w:rPr>
        <w:t>на 2023-2025 роки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12142E" w:rsidRPr="00AC1E8A" w:rsidRDefault="0012142E" w:rsidP="00AC1E8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</w:rPr>
        <w:t xml:space="preserve">1. Викласти Паспорт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 </w:t>
      </w:r>
      <w:r w:rsidR="00F66264">
        <w:rPr>
          <w:rFonts w:ascii="Times New Roman" w:eastAsia="Times New Roman" w:hAnsi="Times New Roman" w:cs="Times New Roman"/>
        </w:rPr>
        <w:t>згідно з додат</w:t>
      </w:r>
      <w:r w:rsidRPr="00AC1E8A">
        <w:rPr>
          <w:rFonts w:ascii="Times New Roman" w:eastAsia="Times New Roman" w:hAnsi="Times New Roman" w:cs="Times New Roman"/>
        </w:rPr>
        <w:t>к</w:t>
      </w:r>
      <w:r w:rsidR="00F66264">
        <w:rPr>
          <w:rFonts w:ascii="Times New Roman" w:eastAsia="Times New Roman" w:hAnsi="Times New Roman" w:cs="Times New Roman"/>
        </w:rPr>
        <w:t>ом</w:t>
      </w:r>
      <w:r w:rsidRPr="00AC1E8A">
        <w:rPr>
          <w:rFonts w:ascii="Times New Roman" w:eastAsia="Times New Roman" w:hAnsi="Times New Roman" w:cs="Times New Roman"/>
        </w:rPr>
        <w:t xml:space="preserve"> 1</w:t>
      </w:r>
      <w:r w:rsidR="00F66264">
        <w:rPr>
          <w:rFonts w:ascii="Times New Roman" w:eastAsia="Times New Roman" w:hAnsi="Times New Roman" w:cs="Times New Roman"/>
        </w:rPr>
        <w:t xml:space="preserve"> до цього рішення</w:t>
      </w:r>
      <w:r w:rsidRPr="00AC1E8A">
        <w:rPr>
          <w:rFonts w:ascii="Times New Roman" w:eastAsia="Times New Roman" w:hAnsi="Times New Roman" w:cs="Times New Roman"/>
        </w:rPr>
        <w:t>.</w:t>
      </w:r>
    </w:p>
    <w:p w:rsidR="0012142E" w:rsidRDefault="0012142E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</w:rPr>
        <w:t>2. Викласти</w:t>
      </w:r>
      <w:r w:rsidR="00C91AFB" w:rsidRPr="00AC1E8A">
        <w:rPr>
          <w:rFonts w:ascii="Times New Roman" w:eastAsia="Times New Roman" w:hAnsi="Times New Roman" w:cs="Times New Roman"/>
        </w:rPr>
        <w:t xml:space="preserve"> Заходи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</w:t>
      </w:r>
      <w:r w:rsidRPr="00AC1E8A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:rsidR="0070011F" w:rsidRDefault="0070011F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2142E" w:rsidRPr="00AC1E8A" w:rsidRDefault="0012142E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:rsidR="0070011F" w:rsidRPr="00CA1D17" w:rsidRDefault="0070011F" w:rsidP="0070011F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845AEF">
        <w:rPr>
          <w:rFonts w:ascii="Times New Roman" w:eastAsia="Times New Roman" w:hAnsi="Times New Roman" w:cs="Times New Roman"/>
          <w:b/>
          <w:color w:val="000000"/>
        </w:rPr>
        <w:t>2</w:t>
      </w:r>
      <w:r w:rsidR="009D4122">
        <w:rPr>
          <w:rFonts w:ascii="Times New Roman" w:eastAsia="Times New Roman" w:hAnsi="Times New Roman" w:cs="Times New Roman"/>
          <w:b/>
          <w:color w:val="000000"/>
        </w:rPr>
        <w:t>5</w:t>
      </w:r>
      <w:r w:rsidRPr="00142A7C">
        <w:rPr>
          <w:rFonts w:ascii="Times New Roman" w:eastAsia="Times New Roman" w:hAnsi="Times New Roman" w:cs="Times New Roman"/>
          <w:b/>
          <w:color w:val="auto"/>
        </w:rPr>
        <w:t>.0</w:t>
      </w:r>
      <w:r w:rsidR="00845AEF">
        <w:rPr>
          <w:rFonts w:ascii="Times New Roman" w:eastAsia="Times New Roman" w:hAnsi="Times New Roman" w:cs="Times New Roman"/>
          <w:b/>
          <w:color w:val="auto"/>
        </w:rPr>
        <w:t>7</w:t>
      </w:r>
      <w:r w:rsidRPr="00142A7C">
        <w:rPr>
          <w:rFonts w:ascii="Times New Roman" w:eastAsia="Times New Roman" w:hAnsi="Times New Roman" w:cs="Times New Roman"/>
          <w:b/>
          <w:color w:val="auto"/>
        </w:rPr>
        <w:t>.2024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142A7C" w:rsidRPr="00142A7C" w:rsidTr="004D1A1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p w:rsidR="00142A7C" w:rsidRPr="00142A7C" w:rsidRDefault="00142A7C" w:rsidP="00142A7C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42A7C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8012BD" w:rsidP="00142A7C">
            <w:pPr>
              <w:jc w:val="center"/>
              <w:rPr>
                <w:rFonts w:hint="eastAsia"/>
              </w:rPr>
            </w:pPr>
            <w:r w:rsidRPr="008012BD">
              <w:rPr>
                <w:color w:val="auto"/>
              </w:rPr>
              <w:t>7246,855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  <w:r w:rsidRPr="00142A7C">
              <w:t>7026,855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A7C" w:rsidRPr="00142A7C" w:rsidRDefault="00142A7C" w:rsidP="008012BD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 w:hint="eastAsia"/>
              </w:rPr>
              <w:t>197</w:t>
            </w:r>
            <w:r w:rsidR="008012BD">
              <w:rPr>
                <w:rFonts w:ascii="Times New Roman" w:hAnsi="Times New Roman" w:cs="Times New Roman"/>
              </w:rPr>
              <w:t>9</w:t>
            </w:r>
            <w:r w:rsidRPr="00142A7C">
              <w:rPr>
                <w:rFonts w:ascii="Times New Roman" w:hAnsi="Times New Roman" w:cs="Times New Roman" w:hint="eastAsia"/>
              </w:rPr>
              <w:t>1,915</w:t>
            </w:r>
          </w:p>
        </w:tc>
      </w:tr>
    </w:tbl>
    <w:p w:rsidR="00142A7C" w:rsidRPr="00142A7C" w:rsidRDefault="00142A7C" w:rsidP="00142A7C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522B6" w:rsidRPr="000522B6" w:rsidRDefault="000522B6" w:rsidP="000522B6">
      <w:pPr>
        <w:spacing w:after="200" w:line="240" w:lineRule="auto"/>
        <w:ind w:left="2" w:hangingChars="1" w:hanging="2"/>
        <w:jc w:val="both"/>
        <w:outlineLvl w:val="0"/>
        <w:rPr>
          <w:rFonts w:ascii="Times New Roman" w:eastAsia="Calibri" w:hAnsi="Times New Roman"/>
          <w:color w:val="auto"/>
          <w:kern w:val="0"/>
          <w:position w:val="-1"/>
          <w:lang w:eastAsia="zh-CN"/>
        </w:rPr>
      </w:pPr>
      <w:bookmarkStart w:id="0" w:name="_heading=h.tyjcwt" w:colFirst="0" w:colLast="0"/>
      <w:bookmarkEnd w:id="0"/>
      <w:r w:rsidRPr="000522B6">
        <w:rPr>
          <w:rFonts w:ascii="Times New Roman" w:eastAsia="Calibri" w:hAnsi="Times New Roman"/>
          <w:b/>
          <w:color w:val="auto"/>
          <w:kern w:val="0"/>
          <w:position w:val="-1"/>
          <w:lang w:eastAsia="zh-CN"/>
        </w:rPr>
        <w:t>Міський голова</w:t>
      </w:r>
      <w:r w:rsidRPr="000522B6">
        <w:rPr>
          <w:rFonts w:ascii="Times New Roman" w:eastAsia="Calibri" w:hAnsi="Times New Roman"/>
          <w:b/>
          <w:color w:val="auto"/>
          <w:kern w:val="0"/>
          <w:position w:val="-1"/>
          <w:lang w:eastAsia="zh-CN"/>
        </w:rPr>
        <w:tab/>
      </w:r>
      <w:r w:rsidRPr="000522B6">
        <w:rPr>
          <w:rFonts w:ascii="Times New Roman" w:eastAsia="Calibri" w:hAnsi="Times New Roman"/>
          <w:b/>
          <w:color w:val="auto"/>
          <w:kern w:val="0"/>
          <w:position w:val="-1"/>
          <w:lang w:eastAsia="zh-CN"/>
        </w:rPr>
        <w:tab/>
      </w:r>
      <w:r w:rsidRPr="000522B6">
        <w:rPr>
          <w:rFonts w:ascii="Times New Roman" w:eastAsia="Calibri" w:hAnsi="Times New Roman"/>
          <w:b/>
          <w:color w:val="auto"/>
          <w:kern w:val="0"/>
          <w:position w:val="-1"/>
          <w:lang w:eastAsia="zh-CN"/>
        </w:rPr>
        <w:tab/>
      </w:r>
      <w:r w:rsidRPr="000522B6">
        <w:rPr>
          <w:rFonts w:ascii="Times New Roman" w:eastAsia="Calibri" w:hAnsi="Times New Roman"/>
          <w:b/>
          <w:color w:val="auto"/>
          <w:kern w:val="0"/>
          <w:position w:val="-1"/>
          <w:lang w:eastAsia="zh-CN"/>
        </w:rPr>
        <w:tab/>
      </w:r>
      <w:r w:rsidRPr="000522B6">
        <w:rPr>
          <w:rFonts w:ascii="Times New Roman" w:eastAsia="Calibri" w:hAnsi="Times New Roman"/>
          <w:b/>
          <w:color w:val="auto"/>
          <w:kern w:val="0"/>
          <w:position w:val="-1"/>
          <w:lang w:eastAsia="zh-CN"/>
        </w:rPr>
        <w:tab/>
      </w:r>
      <w:r w:rsidRPr="000522B6">
        <w:rPr>
          <w:rFonts w:ascii="Times New Roman" w:eastAsia="Calibri" w:hAnsi="Times New Roman"/>
          <w:b/>
          <w:color w:val="auto"/>
          <w:kern w:val="0"/>
          <w:position w:val="-1"/>
          <w:lang w:eastAsia="zh-CN"/>
        </w:rPr>
        <w:tab/>
      </w:r>
      <w:r w:rsidRPr="000522B6">
        <w:rPr>
          <w:rFonts w:ascii="Times New Roman" w:eastAsia="Calibri" w:hAnsi="Times New Roman"/>
          <w:b/>
          <w:color w:val="auto"/>
          <w:kern w:val="0"/>
          <w:position w:val="-1"/>
          <w:lang w:eastAsia="zh-CN"/>
        </w:rPr>
        <w:tab/>
        <w:t>Олег СТОГНІЙ</w:t>
      </w: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142A7C" w:rsidRPr="00142A7C" w:rsidSect="00B666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17FC" w:rsidRPr="006717FC" w:rsidRDefault="006717FC" w:rsidP="006717FC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6717FC">
        <w:rPr>
          <w:rFonts w:ascii="Times New Roman" w:eastAsia="Times New Roman" w:hAnsi="Times New Roman" w:cs="Times New Roman"/>
          <w:b/>
          <w:color w:val="auto"/>
        </w:rPr>
        <w:t>від 25.07.2024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bookmarkStart w:id="1" w:name="_Hlk126229514"/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6717FC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6717FC" w:rsidRPr="006717FC" w:rsidTr="0095396D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bookmarkEnd w:id="1"/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напряму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діяльності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(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пріоритетні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завдання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заходів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  <w:proofErr w:type="spellEnd"/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обсяги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фінансування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(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вартість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) по роках, тис.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грн</w:t>
            </w:r>
            <w:proofErr w:type="spellEnd"/>
          </w:p>
        </w:tc>
      </w:tr>
      <w:tr w:rsidR="006717FC" w:rsidRPr="006717FC" w:rsidTr="0095396D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2023 р.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2024 р.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2025 р.</w:t>
            </w:r>
          </w:p>
        </w:tc>
      </w:tr>
      <w:tr w:rsidR="006717FC" w:rsidRPr="006717FC" w:rsidTr="0095396D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281,944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5341,977</w:t>
            </w:r>
          </w:p>
        </w:tc>
      </w:tr>
      <w:tr w:rsidR="006717FC" w:rsidRPr="006717FC" w:rsidTr="0095396D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276,980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156,980</w:t>
            </w:r>
          </w:p>
        </w:tc>
      </w:tr>
    </w:tbl>
    <w:p w:rsidR="006717FC" w:rsidRPr="006717FC" w:rsidRDefault="006717FC" w:rsidP="006717FC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6717F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6717FC" w:rsidRPr="006717FC" w:rsidTr="0095396D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345,954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245,954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0,000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1000,00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1000,00</w:t>
            </w:r>
          </w:p>
        </w:tc>
      </w:tr>
      <w:tr w:rsidR="006717FC" w:rsidRPr="006717FC" w:rsidTr="0095396D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7246,855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 w:hint="eastAsia"/>
                <w:color w:val="000000"/>
                <w:kern w:val="0"/>
                <w:lang w:eastAsia="uk-UA"/>
              </w:rPr>
              <w:t>7026,855</w:t>
            </w:r>
          </w:p>
        </w:tc>
      </w:tr>
      <w:tr w:rsidR="006717FC" w:rsidRPr="006717FC" w:rsidTr="0095396D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19791,915</w:t>
            </w:r>
          </w:p>
        </w:tc>
      </w:tr>
    </w:tbl>
    <w:p w:rsidR="006717FC" w:rsidRPr="006717F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:rsidR="00142A7C" w:rsidRPr="00142A7C" w:rsidRDefault="000522B6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142A7C" w:rsidRPr="00142A7C" w:rsidSect="00176690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Міський голова</w:t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bookmarkStart w:id="2" w:name="_GoBack"/>
      <w:bookmarkEnd w:id="2"/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Олег СТОГНІЙ</w:t>
      </w:r>
    </w:p>
    <w:p w:rsidR="00142A7C" w:rsidRPr="00142A7C" w:rsidRDefault="00142A7C" w:rsidP="00142A7C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142A7C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142A7C" w:rsidRPr="00142A7C" w:rsidRDefault="00142A7C" w:rsidP="00CA6295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bookmarkStart w:id="3" w:name="_Hlk98153188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142A7C">
        <w:rPr>
          <w:rFonts w:ascii="Times New Roman" w:eastAsia="Times New Roman" w:hAnsi="Times New Roman" w:cs="Times New Roman"/>
          <w:b/>
          <w:color w:val="000000"/>
        </w:rPr>
        <w:t>»</w:t>
      </w:r>
    </w:p>
    <w:bookmarkEnd w:id="3"/>
    <w:p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Внесення змін до Програми зумовлені необхідністю придбання обладнання та проведення поточного ремонту кабінету за адресою: вул. Коржівська,80 для надання  послуг з зубопротезування населення.</w:t>
      </w:r>
    </w:p>
    <w:p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П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ропонується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скорегувати обсяги фінансування, передбачені Програмою на 2024 рік таким чином:</w:t>
      </w:r>
    </w:p>
    <w:p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зменшити на 70,0 </w:t>
      </w:r>
      <w:proofErr w:type="spellStart"/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тис.грн</w:t>
      </w:r>
      <w:proofErr w:type="spellEnd"/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п.4 «Оплата послуг та закупівля предметів»;</w:t>
      </w:r>
    </w:p>
    <w:p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з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більшити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на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12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0,0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proofErr w:type="spellStart"/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тис.грн</w:t>
      </w:r>
      <w:proofErr w:type="spellEnd"/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п.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3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«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Забезпечення, медикаментами, предметами, матеріалами, обладнанням та інвентарем для надання стоматологічних послуг населенню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»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(придбання </w:t>
      </w:r>
      <w:proofErr w:type="spellStart"/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мультипресу</w:t>
      </w:r>
      <w:proofErr w:type="spellEnd"/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для послуг по зубопротезуванню пільгових категорій населення). </w:t>
      </w:r>
    </w:p>
    <w:p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 Додатково збільшується обсяг фінансування на 50,0тис.грн.</w:t>
      </w:r>
    </w:p>
    <w:p w:rsidR="00A25352" w:rsidRPr="00A25352" w:rsidRDefault="00A25352" w:rsidP="00A25352">
      <w:pPr>
        <w:tabs>
          <w:tab w:val="left" w:pos="567"/>
        </w:tabs>
        <w:spacing w:line="271" w:lineRule="auto"/>
        <w:ind w:firstLine="426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Загальний обсяг фінансування, передбачений Програмою на 2024рік, збільшити з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7196,855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тис.грн на 7246,855тис.грн .</w:t>
      </w: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Pr="00142A7C" w:rsidRDefault="00B72CAD" w:rsidP="00B72CAD">
      <w:pPr>
        <w:spacing w:line="271" w:lineRule="auto"/>
        <w:ind w:firstLine="567"/>
        <w:jc w:val="both"/>
        <w:rPr>
          <w:rFonts w:ascii="Times New Roman" w:hAnsi="Times New Roman" w:cs="Times New Roman"/>
        </w:rPr>
      </w:pPr>
    </w:p>
    <w:p w:rsidR="00142A7C" w:rsidRPr="00142A7C" w:rsidRDefault="00142A7C" w:rsidP="00142A7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Головний лікар КНП «Стоматполіклініка» РМР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Ніна БОРЯК</w:t>
      </w: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ПОГОДЖЕНО</w:t>
      </w: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Заступник міського голови з питань</w:t>
      </w:r>
    </w:p>
    <w:p w:rsidR="00AC0A77" w:rsidRPr="00CA1D17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діяльності виконавчих органів влади                                            Лілія ГОРОДЕЦЬКА</w:t>
      </w:r>
    </w:p>
    <w:sectPr w:rsidR="00AC0A77" w:rsidRPr="00CA1D17" w:rsidSect="00B72CAD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36C2" w:rsidRDefault="00BD36C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BD36C2" w:rsidRDefault="00BD36C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36C2" w:rsidRDefault="00BD36C2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BD36C2" w:rsidRDefault="00BD36C2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2B"/>
    <w:rsid w:val="00011918"/>
    <w:rsid w:val="00026FFC"/>
    <w:rsid w:val="000337F3"/>
    <w:rsid w:val="00034DD3"/>
    <w:rsid w:val="00035E7E"/>
    <w:rsid w:val="000522B6"/>
    <w:rsid w:val="00082EEA"/>
    <w:rsid w:val="00084A13"/>
    <w:rsid w:val="000A4C78"/>
    <w:rsid w:val="000A4DF3"/>
    <w:rsid w:val="000A7182"/>
    <w:rsid w:val="000B0AEA"/>
    <w:rsid w:val="000B0B42"/>
    <w:rsid w:val="000D460F"/>
    <w:rsid w:val="000D49DA"/>
    <w:rsid w:val="000D5070"/>
    <w:rsid w:val="000E1EAF"/>
    <w:rsid w:val="000F2772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87683"/>
    <w:rsid w:val="00190D77"/>
    <w:rsid w:val="001C147A"/>
    <w:rsid w:val="001D5345"/>
    <w:rsid w:val="001D61FA"/>
    <w:rsid w:val="001E784C"/>
    <w:rsid w:val="001F331A"/>
    <w:rsid w:val="001F443C"/>
    <w:rsid w:val="001F48F2"/>
    <w:rsid w:val="00207710"/>
    <w:rsid w:val="002110F9"/>
    <w:rsid w:val="00214CAA"/>
    <w:rsid w:val="00221059"/>
    <w:rsid w:val="002264EE"/>
    <w:rsid w:val="00231F00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B18DA"/>
    <w:rsid w:val="002C34F4"/>
    <w:rsid w:val="002D3F40"/>
    <w:rsid w:val="002D5D58"/>
    <w:rsid w:val="002D5FE4"/>
    <w:rsid w:val="002D67EC"/>
    <w:rsid w:val="002E646D"/>
    <w:rsid w:val="002F1E2E"/>
    <w:rsid w:val="002F2C20"/>
    <w:rsid w:val="002F2DEE"/>
    <w:rsid w:val="0030343F"/>
    <w:rsid w:val="00304FB4"/>
    <w:rsid w:val="00305462"/>
    <w:rsid w:val="00311AA2"/>
    <w:rsid w:val="00322053"/>
    <w:rsid w:val="00344345"/>
    <w:rsid w:val="0034795B"/>
    <w:rsid w:val="0035478E"/>
    <w:rsid w:val="00356E52"/>
    <w:rsid w:val="003624C9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22A7D"/>
    <w:rsid w:val="00425DD8"/>
    <w:rsid w:val="0043280B"/>
    <w:rsid w:val="00433B02"/>
    <w:rsid w:val="00434D8F"/>
    <w:rsid w:val="00441665"/>
    <w:rsid w:val="00454875"/>
    <w:rsid w:val="00460269"/>
    <w:rsid w:val="004609C1"/>
    <w:rsid w:val="00461F5E"/>
    <w:rsid w:val="004640EE"/>
    <w:rsid w:val="004649AB"/>
    <w:rsid w:val="004732F5"/>
    <w:rsid w:val="0047717B"/>
    <w:rsid w:val="00487AAC"/>
    <w:rsid w:val="004B2B6A"/>
    <w:rsid w:val="004C7384"/>
    <w:rsid w:val="004D0FDD"/>
    <w:rsid w:val="004D1A19"/>
    <w:rsid w:val="004D2415"/>
    <w:rsid w:val="004D380D"/>
    <w:rsid w:val="004E7D4F"/>
    <w:rsid w:val="004F377C"/>
    <w:rsid w:val="004F37BB"/>
    <w:rsid w:val="004F7CBB"/>
    <w:rsid w:val="004F7D2D"/>
    <w:rsid w:val="00505172"/>
    <w:rsid w:val="00510368"/>
    <w:rsid w:val="005253A2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17B92"/>
    <w:rsid w:val="00621BA7"/>
    <w:rsid w:val="0063264A"/>
    <w:rsid w:val="006334FE"/>
    <w:rsid w:val="00636205"/>
    <w:rsid w:val="00644980"/>
    <w:rsid w:val="006504BE"/>
    <w:rsid w:val="00652D8A"/>
    <w:rsid w:val="00661478"/>
    <w:rsid w:val="006717FC"/>
    <w:rsid w:val="006732ED"/>
    <w:rsid w:val="0068640E"/>
    <w:rsid w:val="00694F7B"/>
    <w:rsid w:val="006A21D2"/>
    <w:rsid w:val="006A24AF"/>
    <w:rsid w:val="006A2653"/>
    <w:rsid w:val="006A733A"/>
    <w:rsid w:val="006C4CCF"/>
    <w:rsid w:val="006E4DE6"/>
    <w:rsid w:val="0070011F"/>
    <w:rsid w:val="007019A2"/>
    <w:rsid w:val="00701A98"/>
    <w:rsid w:val="00706989"/>
    <w:rsid w:val="00711086"/>
    <w:rsid w:val="00713F94"/>
    <w:rsid w:val="0071477B"/>
    <w:rsid w:val="00724445"/>
    <w:rsid w:val="0072643F"/>
    <w:rsid w:val="0073272D"/>
    <w:rsid w:val="00737E8C"/>
    <w:rsid w:val="00753A9A"/>
    <w:rsid w:val="0075456E"/>
    <w:rsid w:val="007641D2"/>
    <w:rsid w:val="007819C8"/>
    <w:rsid w:val="007827BA"/>
    <w:rsid w:val="007A293D"/>
    <w:rsid w:val="007A6A70"/>
    <w:rsid w:val="007C692E"/>
    <w:rsid w:val="007E5A42"/>
    <w:rsid w:val="007F05E6"/>
    <w:rsid w:val="007F64B1"/>
    <w:rsid w:val="008012BD"/>
    <w:rsid w:val="00810492"/>
    <w:rsid w:val="008142B5"/>
    <w:rsid w:val="00817132"/>
    <w:rsid w:val="00833F09"/>
    <w:rsid w:val="00834B8D"/>
    <w:rsid w:val="00845AEF"/>
    <w:rsid w:val="00851960"/>
    <w:rsid w:val="00855C26"/>
    <w:rsid w:val="008666C9"/>
    <w:rsid w:val="00871CA3"/>
    <w:rsid w:val="00875450"/>
    <w:rsid w:val="00882B5B"/>
    <w:rsid w:val="008836A0"/>
    <w:rsid w:val="0088475B"/>
    <w:rsid w:val="00886A5B"/>
    <w:rsid w:val="008921D1"/>
    <w:rsid w:val="008A3D8C"/>
    <w:rsid w:val="008A68EC"/>
    <w:rsid w:val="008A6A18"/>
    <w:rsid w:val="008D40EE"/>
    <w:rsid w:val="008D461A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55466"/>
    <w:rsid w:val="00963584"/>
    <w:rsid w:val="009679D1"/>
    <w:rsid w:val="009807CC"/>
    <w:rsid w:val="00981683"/>
    <w:rsid w:val="009915B0"/>
    <w:rsid w:val="00994FDF"/>
    <w:rsid w:val="009A3DC3"/>
    <w:rsid w:val="009A542A"/>
    <w:rsid w:val="009B0B73"/>
    <w:rsid w:val="009B1388"/>
    <w:rsid w:val="009C7ADE"/>
    <w:rsid w:val="009C7E71"/>
    <w:rsid w:val="009D4122"/>
    <w:rsid w:val="009D5F0A"/>
    <w:rsid w:val="009E6F63"/>
    <w:rsid w:val="009F7A45"/>
    <w:rsid w:val="00A103BE"/>
    <w:rsid w:val="00A25352"/>
    <w:rsid w:val="00A26A8B"/>
    <w:rsid w:val="00A37882"/>
    <w:rsid w:val="00A43950"/>
    <w:rsid w:val="00A52A69"/>
    <w:rsid w:val="00A61416"/>
    <w:rsid w:val="00A62DBE"/>
    <w:rsid w:val="00A67BAC"/>
    <w:rsid w:val="00A813B7"/>
    <w:rsid w:val="00A817AD"/>
    <w:rsid w:val="00A81909"/>
    <w:rsid w:val="00A9518B"/>
    <w:rsid w:val="00AB39C1"/>
    <w:rsid w:val="00AB3FD5"/>
    <w:rsid w:val="00AC0A77"/>
    <w:rsid w:val="00AC1E8A"/>
    <w:rsid w:val="00AD066A"/>
    <w:rsid w:val="00AF0025"/>
    <w:rsid w:val="00AF73C4"/>
    <w:rsid w:val="00B06861"/>
    <w:rsid w:val="00B55C78"/>
    <w:rsid w:val="00B57056"/>
    <w:rsid w:val="00B66486"/>
    <w:rsid w:val="00B6669C"/>
    <w:rsid w:val="00B714C6"/>
    <w:rsid w:val="00B71813"/>
    <w:rsid w:val="00B72CAD"/>
    <w:rsid w:val="00B77C0E"/>
    <w:rsid w:val="00B84B15"/>
    <w:rsid w:val="00B857F2"/>
    <w:rsid w:val="00BA3370"/>
    <w:rsid w:val="00BC1A8D"/>
    <w:rsid w:val="00BC40AB"/>
    <w:rsid w:val="00BC4B7E"/>
    <w:rsid w:val="00BC4F79"/>
    <w:rsid w:val="00BD36C2"/>
    <w:rsid w:val="00BD5A25"/>
    <w:rsid w:val="00BE18DD"/>
    <w:rsid w:val="00BE522C"/>
    <w:rsid w:val="00C014C9"/>
    <w:rsid w:val="00C17B21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5502"/>
    <w:rsid w:val="00D932EB"/>
    <w:rsid w:val="00D961EE"/>
    <w:rsid w:val="00DA31CD"/>
    <w:rsid w:val="00DB272C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26DD"/>
    <w:rsid w:val="00E46D2B"/>
    <w:rsid w:val="00E47FE8"/>
    <w:rsid w:val="00E603B1"/>
    <w:rsid w:val="00E64D96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7B50"/>
    <w:rsid w:val="00F417FD"/>
    <w:rsid w:val="00F44093"/>
    <w:rsid w:val="00F47AFB"/>
    <w:rsid w:val="00F53C68"/>
    <w:rsid w:val="00F63E3A"/>
    <w:rsid w:val="00F66264"/>
    <w:rsid w:val="00F67CEF"/>
    <w:rsid w:val="00F74F89"/>
    <w:rsid w:val="00F75382"/>
    <w:rsid w:val="00FA0DB1"/>
    <w:rsid w:val="00FC271A"/>
    <w:rsid w:val="00FD6C46"/>
    <w:rsid w:val="00FE3936"/>
    <w:rsid w:val="00FE44B1"/>
    <w:rsid w:val="00FE683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8EF0"/>
  <w15:docId w15:val="{16143134-B45F-40E2-8270-5A83C36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AE059C-2AEC-4263-B8DC-C6DFF9DA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3370</Words>
  <Characters>1921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13</cp:revision>
  <cp:lastPrinted>2024-07-26T08:38:00Z</cp:lastPrinted>
  <dcterms:created xsi:type="dcterms:W3CDTF">2024-06-11T05:27:00Z</dcterms:created>
  <dcterms:modified xsi:type="dcterms:W3CDTF">2024-07-26T08:40:00Z</dcterms:modified>
</cp:coreProperties>
</file>