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209" w:rsidRPr="00AC2209" w:rsidRDefault="00E32501" w:rsidP="00382C53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r w:rsidRPr="00AC2209">
        <w:rPr>
          <w:noProof/>
          <w:lang w:val="ru-RU"/>
        </w:rPr>
        <w:drawing>
          <wp:inline distT="0" distB="0" distL="0" distR="0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421E8E">
        <w:rPr>
          <w:b/>
          <w:bCs/>
        </w:rPr>
        <w:t>П’ЯТА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>
        <w:tc>
          <w:tcPr>
            <w:tcW w:w="3133" w:type="dxa"/>
            <w:hideMark/>
          </w:tcPr>
          <w:p w:rsidR="00AC2209" w:rsidRPr="00AC2209" w:rsidRDefault="00421E8E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22.05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:rsidR="00AC2209" w:rsidRPr="00AC2209" w:rsidRDefault="00E32501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bookmarkStart w:id="2" w:name="_GoBack"/>
            <w:bookmarkEnd w:id="2"/>
            <w:r w:rsidR="00AC2209"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2F79C8" w:rsidRPr="00135F93" w:rsidRDefault="00A94DD0" w:rsidP="002F79C8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3" w:name="_Hlk79146937"/>
      <w:bookmarkStart w:id="4" w:name="_Hlk148354861"/>
      <w:bookmarkEnd w:id="1"/>
      <w:r w:rsidRPr="00A94DD0">
        <w:rPr>
          <w:b/>
          <w:bCs/>
          <w:sz w:val="24"/>
          <w:szCs w:val="24"/>
        </w:rPr>
        <w:t>Про стан виконання програми «Освіта Роменської міської територіальної громади у 2021-2023 роках» за 2023</w:t>
      </w:r>
      <w:r>
        <w:rPr>
          <w:b/>
          <w:bCs/>
          <w:sz w:val="24"/>
          <w:szCs w:val="24"/>
        </w:rPr>
        <w:t xml:space="preserve"> рік</w:t>
      </w:r>
    </w:p>
    <w:bookmarkEnd w:id="4"/>
    <w:p w:rsidR="0086625B" w:rsidRDefault="00A94DD0" w:rsidP="002F79C8">
      <w:pPr>
        <w:spacing w:line="276" w:lineRule="auto"/>
        <w:ind w:firstLine="567"/>
        <w:jc w:val="both"/>
      </w:pPr>
      <w:r w:rsidRPr="00A94DD0">
        <w:t>Відповідно до пункту 22 частини 1 статті 26 Закону України «Про місцеве самоврядування в Україні</w:t>
      </w:r>
      <w:r>
        <w:t>»</w:t>
      </w:r>
    </w:p>
    <w:p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A94DD0" w:rsidRPr="00A94DD0">
        <w:t>Взяти до відома інформацію заступника міського голови з питань діяльності виконавчих органів ради Марюхи В.І. про стан виконання програми «Освіта Роменської міської територіальної громади у 2021-2023 роках» за 2023 рік (додається)</w:t>
      </w:r>
      <w:r w:rsidR="00A94DD0">
        <w:t>.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A94DD0" w:rsidRPr="00A94DD0">
        <w:t>Зняти з контролю рішення Роменської міської ради від 23.12.2020 «Про затвердження програми «Освіта Роменської міської територіальної громади у 2021-2023 роках» у зв’язку із забезпеченням його виконання</w:t>
      </w:r>
      <w:r w:rsidR="0086625B">
        <w:t>.</w:t>
      </w:r>
    </w:p>
    <w:p w:rsidR="00E528DA" w:rsidRDefault="00E528DA" w:rsidP="00382C53">
      <w:pPr>
        <w:spacing w:line="276" w:lineRule="auto"/>
        <w:ind w:firstLine="708"/>
        <w:jc w:val="both"/>
      </w:pPr>
    </w:p>
    <w:p w:rsidR="000B50EF" w:rsidRDefault="000B50EF" w:rsidP="00382C53">
      <w:pPr>
        <w:spacing w:line="276" w:lineRule="auto"/>
        <w:ind w:firstLine="708"/>
        <w:jc w:val="both"/>
      </w:pPr>
    </w:p>
    <w:p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0"/>
    <w:bookmarkEnd w:id="3"/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A94DD0" w:rsidRDefault="00A94DD0" w:rsidP="002F79C8">
      <w:pPr>
        <w:ind w:left="2832" w:firstLine="708"/>
        <w:rPr>
          <w:b/>
        </w:rPr>
      </w:pPr>
    </w:p>
    <w:p w:rsidR="00411523" w:rsidRPr="00411523" w:rsidRDefault="00411523" w:rsidP="00411523">
      <w:pPr>
        <w:jc w:val="center"/>
        <w:rPr>
          <w:b/>
          <w:bCs/>
        </w:rPr>
      </w:pPr>
      <w:r w:rsidRPr="00411523">
        <w:rPr>
          <w:b/>
          <w:bCs/>
        </w:rPr>
        <w:lastRenderedPageBreak/>
        <w:t>ІНФОРМАЦІЯ</w:t>
      </w:r>
    </w:p>
    <w:p w:rsidR="00411523" w:rsidRPr="00411523" w:rsidRDefault="00411523" w:rsidP="00411523">
      <w:pPr>
        <w:jc w:val="center"/>
        <w:rPr>
          <w:b/>
          <w:bCs/>
        </w:rPr>
      </w:pPr>
      <w:r w:rsidRPr="00411523">
        <w:rPr>
          <w:b/>
          <w:bCs/>
        </w:rPr>
        <w:t>«Про стан виконання програми  «Освіта Роменської міської територіальної громади у 2021-2023 роках»» за 202</w:t>
      </w:r>
      <w:r>
        <w:rPr>
          <w:b/>
          <w:bCs/>
        </w:rPr>
        <w:t>3</w:t>
      </w:r>
      <w:r w:rsidRPr="00411523">
        <w:rPr>
          <w:b/>
          <w:bCs/>
        </w:rPr>
        <w:t xml:space="preserve"> рік</w:t>
      </w:r>
    </w:p>
    <w:p w:rsidR="002F79C8" w:rsidRDefault="002F79C8" w:rsidP="002F79C8">
      <w:pPr>
        <w:jc w:val="center"/>
      </w:pPr>
    </w:p>
    <w:p w:rsidR="00A94DD0" w:rsidRPr="00A94DD0" w:rsidRDefault="00A94DD0" w:rsidP="00A94DD0">
      <w:pPr>
        <w:spacing w:line="276" w:lineRule="auto"/>
        <w:ind w:firstLine="567"/>
        <w:jc w:val="both"/>
      </w:pPr>
      <w:bookmarkStart w:id="5" w:name="_Hlk132808146"/>
      <w:r w:rsidRPr="00A94DD0">
        <w:t xml:space="preserve">За напрямком </w:t>
      </w:r>
      <w:r w:rsidRPr="00A94DD0">
        <w:rPr>
          <w:b/>
        </w:rPr>
        <w:t>«Створення сучасного освітнього середовища дошкільної освіти»</w:t>
      </w:r>
      <w:r w:rsidRPr="00A94DD0">
        <w:t xml:space="preserve"> для забезпечення безпечних та комфортних умов отримання дошкільної освіти у 2023 році на придбання сучасних меблів обсяг фінансування склав 22,4 тис. грн, що становить 15% від запланованого показника. У зв’язку з запровадженням в країні воєнного стану закупівлі обмежуються.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У звітному році здійснено оздоровлення дітей у закладах дошкільної освіти шляхом збільшення , відповідно до чинного законодавства, вартості харчування на 10 відсотків протягом літнього періоду на суму 55,7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За напрямком </w:t>
      </w:r>
      <w:r w:rsidRPr="00A94DD0">
        <w:rPr>
          <w:b/>
        </w:rPr>
        <w:t>«Створення умов для реалізації державної політики у сфері реформування загальної середньої освіти «Нова українська школа»</w:t>
      </w:r>
      <w:r w:rsidRPr="00A94DD0">
        <w:t xml:space="preserve"> д</w:t>
      </w:r>
      <w:r w:rsidRPr="00A94DD0">
        <w:rPr>
          <w:bCs/>
        </w:rPr>
        <w:t xml:space="preserve">ля підвищення якості надання освітніх послуг у 2023 році </w:t>
      </w:r>
      <w:r w:rsidRPr="00A94DD0">
        <w:t>забезпечено функціонування пакетів програмного продукту «Курс: Школа» (ДІСО) на суму 41,4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За напрямком </w:t>
      </w:r>
      <w:r w:rsidRPr="00A94DD0">
        <w:rPr>
          <w:b/>
        </w:rPr>
        <w:t>«Створення сучасного освітнього середовища»</w:t>
      </w:r>
      <w:r w:rsidRPr="00A94DD0">
        <w:t xml:space="preserve"> усі заходи з підвищення якості надання освітніх послуг виконані у 2021-2022 роках . Усі заклади освіти облаштовані ігровими, розвивальними та відпочинковими локаціями, необхідними для впровадження </w:t>
      </w:r>
      <w:r w:rsidRPr="00A94DD0">
        <w:rPr>
          <w:bCs/>
        </w:rPr>
        <w:t>компетентнісного</w:t>
      </w:r>
      <w:r w:rsidRPr="00A94DD0">
        <w:t xml:space="preserve"> навчання, забезпечені сучасною комп’ютерною, інтерактивною та мультимедійною технікою, а педагогічні працівники - ноутбуками для забезпечення дистанційного навчання. 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Підвезення учнів до шкіл громади забезпечується шляхом розповсюдження пільгових проїзних квитків у межах міста та підвезення шкільними автобусами. За напрямком </w:t>
      </w:r>
      <w:r w:rsidRPr="00A94DD0">
        <w:rPr>
          <w:b/>
        </w:rPr>
        <w:t xml:space="preserve">«Забезпечення рівного доступу до якісної освіти» </w:t>
      </w:r>
      <w:r w:rsidRPr="00A94DD0">
        <w:rPr>
          <w:bCs/>
        </w:rPr>
        <w:t>для пільгового</w:t>
      </w:r>
      <w:r w:rsidRPr="00A94DD0">
        <w:rPr>
          <w:b/>
        </w:rPr>
        <w:t xml:space="preserve"> </w:t>
      </w:r>
      <w:r w:rsidRPr="00A94DD0">
        <w:rPr>
          <w:bCs/>
        </w:rPr>
        <w:t>проїзду</w:t>
      </w:r>
      <w:r w:rsidRPr="00A94DD0">
        <w:rPr>
          <w:b/>
        </w:rPr>
        <w:t xml:space="preserve"> </w:t>
      </w:r>
      <w:r w:rsidRPr="00A94DD0">
        <w:t xml:space="preserve">учнів витрачено  1353,4 тис. грн. При вартості квитка у громадському транспорті 12 грн, з бюджету громади відшкодовувалися 7,2 грн, учнівська доплата складала 4,8 грн. 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У звітному році здійснено виплати адресної фінансової підтримки 9-ти  обдарованим учням та переможцям конкурсів шляхом призначення стипендій міського голови у загальній сумі 64,8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У 2023 році на заробітну плату педагогічним працівникам закладів загальної середньої освіти, що не була забезпечена освітньою субвенцією обсяг фінансування склав  9,2 млн грн та на</w:t>
      </w:r>
      <w:r w:rsidR="001153F9">
        <w:t xml:space="preserve"> </w:t>
      </w:r>
      <w:r w:rsidRPr="00A94DD0">
        <w:t>заробітну плату педагогічним працівникам закладів освіти на надання державної підтримки особам з  особливими освітніми - 0,4 млн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Забезпечено харчування дітей у пришкільних та профільних таборах на загальну суму 810,3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bookmarkStart w:id="6" w:name="_Hlk166481785"/>
      <w:r w:rsidRPr="00A94DD0">
        <w:t xml:space="preserve">За напрямком </w:t>
      </w:r>
      <w:r w:rsidRPr="00A94DD0">
        <w:rPr>
          <w:b/>
        </w:rPr>
        <w:t>«</w:t>
      </w:r>
      <w:bookmarkEnd w:id="6"/>
      <w:r w:rsidRPr="00A94DD0">
        <w:rPr>
          <w:b/>
        </w:rPr>
        <w:t>Реалізація та поширення моделі інклюзивного навчання»</w:t>
      </w:r>
      <w:r w:rsidRPr="00A94DD0">
        <w:t xml:space="preserve"> для наближення освітніх послуг до дітей з особливими освітніми потребами у 2023 році забезпечено комунальну установу «Інклюзивно – ресурсний центр» Роменської міської ради Сумської області» матеріалами для роботи відповідно до вимог законодавства, на загальну суму 54,8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rPr>
          <w:bCs/>
        </w:rPr>
        <w:t xml:space="preserve">За напрямком </w:t>
      </w:r>
      <w:r w:rsidRPr="00A94DD0">
        <w:rPr>
          <w:b/>
          <w:bCs/>
        </w:rPr>
        <w:t>«Поліпшення матеріально-технічної бази закладів освіти</w:t>
      </w:r>
      <w:r w:rsidRPr="00A94DD0">
        <w:rPr>
          <w:b/>
        </w:rPr>
        <w:t>»</w:t>
      </w:r>
      <w:r w:rsidRPr="00A94DD0">
        <w:t xml:space="preserve"> виконання програми склало 6 534,2 тис. грн. А саме</w:t>
      </w:r>
      <w:r>
        <w:t xml:space="preserve"> </w:t>
      </w:r>
      <w:r w:rsidRPr="00A94DD0">
        <w:t>придбано для :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 xml:space="preserve"> дошкільних закладів - газовий котел та водяний насос для ДНЗ № 7 «КАЛИНКА», жарову шафу для харчоблоку ЗДО № 9 «Фіалка», ігровий майданчик для </w:t>
      </w:r>
      <w:r w:rsidRPr="00A94DD0">
        <w:rPr>
          <w:bCs/>
        </w:rPr>
        <w:lastRenderedPageBreak/>
        <w:t xml:space="preserve">Великобубнівського ЗДО (Центр розвитку дитини) «Берізка» РМР на загальну </w:t>
      </w:r>
      <w:r w:rsidR="002C5F0D">
        <w:rPr>
          <w:bCs/>
        </w:rPr>
        <w:t xml:space="preserve">                  </w:t>
      </w:r>
      <w:r w:rsidRPr="00A94DD0">
        <w:rPr>
          <w:bCs/>
        </w:rPr>
        <w:t>суму</w:t>
      </w:r>
      <w:r w:rsidR="002C5F0D">
        <w:rPr>
          <w:bCs/>
        </w:rPr>
        <w:t xml:space="preserve"> </w:t>
      </w:r>
      <w:r w:rsidRPr="00A94DD0">
        <w:rPr>
          <w:bCs/>
        </w:rPr>
        <w:t>208 045 грн;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>закладів загальної середньої освіти - комп’ютери для Роменського ліцею № 4 ім. Тетяни Маркус, проєктор для ЗОШ № 10, твердопаливний котел для Бобрицького ЗЗСО та  багатофункціональний пристрій для Гришинський НВК РМР на загальну суму 258 850 грн;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  <w:lang w:val="ru-RU"/>
        </w:rPr>
        <w:t>Роменського МРЦ РМР</w:t>
      </w:r>
      <w:r w:rsidRPr="00A94DD0">
        <w:rPr>
          <w:bCs/>
        </w:rPr>
        <w:t xml:space="preserve"> - учбовий автомобіль та шини</w:t>
      </w:r>
      <w:r w:rsidRPr="00A94DD0">
        <w:rPr>
          <w:lang w:val="ru-RU"/>
        </w:rPr>
        <w:t xml:space="preserve"> </w:t>
      </w:r>
      <w:r w:rsidRPr="00A94DD0">
        <w:rPr>
          <w:bCs/>
        </w:rPr>
        <w:t>на загальну суму 343 000 грн;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  <w:lang w:val="ru-RU"/>
        </w:rPr>
        <w:t>Роменської МАНУМ</w:t>
      </w:r>
      <w:r w:rsidRPr="00A94DD0">
        <w:rPr>
          <w:bCs/>
        </w:rPr>
        <w:t xml:space="preserve"> - два ноутбуки та комп'ютерне приладдя на загальну </w:t>
      </w:r>
      <w:r w:rsidR="002C5F0D">
        <w:rPr>
          <w:bCs/>
        </w:rPr>
        <w:t xml:space="preserve">               </w:t>
      </w:r>
      <w:r w:rsidRPr="00A94DD0">
        <w:rPr>
          <w:bCs/>
        </w:rPr>
        <w:t>суму 81 900 грн;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>закладів освіти - вогнегасники на загальну суму 42 400 грн.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>перевезення учнів -</w:t>
      </w:r>
      <w:r w:rsidR="001153F9">
        <w:rPr>
          <w:bCs/>
        </w:rPr>
        <w:t xml:space="preserve"> </w:t>
      </w:r>
      <w:r w:rsidRPr="00A94DD0">
        <w:rPr>
          <w:bCs/>
        </w:rPr>
        <w:t>2 шкільних автобуси загальною вартістю 5 600  000 грн, з них 2 995 000 грн за рахунок громади</w:t>
      </w:r>
      <w:r>
        <w:rPr>
          <w:bCs/>
        </w:rPr>
        <w:t>.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>У 2023 році виконані такі заходи Програми: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«Будівництво споруди бомбосховища на території Роменської загальноосвітньої школи </w:t>
      </w:r>
      <w:r w:rsidRPr="00A94DD0">
        <w:rPr>
          <w:lang w:val="en-US"/>
        </w:rPr>
        <w:t>I</w:t>
      </w:r>
      <w:r w:rsidRPr="00A94DD0">
        <w:t>-</w:t>
      </w:r>
      <w:r w:rsidRPr="00A94DD0">
        <w:rPr>
          <w:lang w:val="en-US"/>
        </w:rPr>
        <w:t>II</w:t>
      </w:r>
      <w:r w:rsidRPr="00A94DD0">
        <w:t xml:space="preserve"> ступенів № 6 Роменської міської ради Сумської області за адресою: вул. Всіхсвятська, 5, м. Ромни, Сумська обл.» на загальну суму 2 297,3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«Капітальний ремонт приміщення харчоблоку Роменської загальноосвітньої школи </w:t>
      </w:r>
      <w:r w:rsidRPr="00A94DD0">
        <w:rPr>
          <w:lang w:val="en-US"/>
        </w:rPr>
        <w:t>I</w:t>
      </w:r>
      <w:r w:rsidRPr="00A94DD0">
        <w:t>-</w:t>
      </w:r>
      <w:r w:rsidRPr="00A94DD0">
        <w:rPr>
          <w:lang w:val="en-US"/>
        </w:rPr>
        <w:t>III</w:t>
      </w:r>
      <w:r w:rsidRPr="00A94DD0">
        <w:t xml:space="preserve"> ступенів №5 Роменської міської ради Сумської області за адресою: вул. Прокопенка, 76, м. Ромни, Сумська обл» - 338,4 тис. грн </w:t>
      </w:r>
      <w:bookmarkStart w:id="7" w:name="_Hlk139633015"/>
      <w:r w:rsidRPr="00A94DD0">
        <w:t>(виготовлено ПКД та виконано роботи);</w:t>
      </w:r>
      <w:bookmarkEnd w:id="7"/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«Капітальний ремонт харчоблоку у ЗОШ № 11 за адресою: Сумська обл. м. Ромни вул. Героїв Роменщини, 234» - 289,2 тис. грн (виготовлено ПКД та виконано роботи);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«Капітальний ремонт системи вентиляції підвалу в будівлі (літ.А4-2) Роменської загальноосвітньої школи I-III ступенів № 7 Роменської міської ради Сумської області за адресою: вул. Полтавська, 32, м. Ромни, Сумська обл.» – 84,3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Протягом звітного періоду проведені поточні ремонти на загальну суму 5 035,1 тис. грн: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облаштування споруди цивільного захисту у </w:t>
      </w:r>
      <w:bookmarkStart w:id="8" w:name="_Hlk166481945"/>
      <w:r w:rsidRPr="00A94DD0">
        <w:rPr>
          <w:bCs/>
        </w:rPr>
        <w:t xml:space="preserve">Роменському ліцеї № 4 ім. Тетяни </w:t>
      </w:r>
      <w:r w:rsidR="002C5F0D">
        <w:rPr>
          <w:bCs/>
        </w:rPr>
        <w:t xml:space="preserve">          </w:t>
      </w:r>
      <w:r w:rsidRPr="00A94DD0">
        <w:rPr>
          <w:bCs/>
        </w:rPr>
        <w:t>Маркус</w:t>
      </w:r>
      <w:bookmarkEnd w:id="8"/>
      <w:r w:rsidRPr="00A94DD0">
        <w:t xml:space="preserve"> </w:t>
      </w:r>
      <w:r w:rsidR="001F78C3">
        <w:t>-</w:t>
      </w:r>
      <w:r w:rsidRPr="00A94DD0">
        <w:t xml:space="preserve"> 320,0 тис. грн; 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поточний ремонт  підпірної стіни на території Бацманівського НВК РМР - 90,0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поточний ремонт асфальтного покриття на території Роменського ліцею </w:t>
      </w:r>
      <w:r w:rsidR="002C5F0D">
        <w:t xml:space="preserve">                        </w:t>
      </w:r>
      <w:r w:rsidRPr="00A94DD0">
        <w:t>№ 1 РМР - 675,0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поточний ремонт приміщення складської будівлі в ЗОШ № 11 - 195,0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поточні роботи по облаштуванню укриттів у закладах освіти - 3655,6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заходи із захисту приміщень (монтаж систем охоронної сигналізації) по закладах, розташованих в сільській місцевості - 99,5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За напрямком </w:t>
      </w:r>
      <w:r w:rsidRPr="00A94DD0">
        <w:rPr>
          <w:b/>
        </w:rPr>
        <w:t xml:space="preserve">«Упровадження заходів з енергозбереження» </w:t>
      </w:r>
      <w:r w:rsidRPr="00A94DD0">
        <w:t>у 2023 році були проведені капітальні ремонтні роботи на  загальну суму 1 744,7  тис. грн, а саме: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капітальний ремонт покрівлі </w:t>
      </w:r>
      <w:bookmarkStart w:id="9" w:name="_Hlk166481986"/>
      <w:r w:rsidRPr="00A94DD0">
        <w:t xml:space="preserve">Роменського ліцею № 4 ім. Тетяни Маркус </w:t>
      </w:r>
      <w:bookmarkEnd w:id="9"/>
      <w:r w:rsidRPr="00A94DD0">
        <w:t>- 1 208,5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капітальний ремонт (влаштування системи блискавкозахисту) у Роменському ліцеї № 4 ім. Тетяни Маркус - 158,5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капітальні ремонти з встановленням системи пожежної сигналізації, системи оповіщення людей про пожежу та управління евакуацією людей:  в будівлях Роменського ліцею № 4 ім. Тетяни Маркус, Роменської  ЗОШ  № 5, ЗОШ № 11 та Великобубнівському ЗЗСО РМР - 193,8 тис. грн;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нове будівництво зовнішньої каналізаційної мережі ЗОШ  № 6 - 80,4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lastRenderedPageBreak/>
        <w:t xml:space="preserve">За напрямком </w:t>
      </w:r>
      <w:r w:rsidRPr="00A94DD0">
        <w:rPr>
          <w:b/>
          <w:bCs/>
        </w:rPr>
        <w:t>«Реалізація Концепції «Нова українська школа»</w:t>
      </w:r>
      <w:r w:rsidRPr="00A94DD0">
        <w:t xml:space="preserve"> для створення сучасного освітнього середовища для учнів загальноосвітніх закладів в умовах упровадження реформи Нової української школи протягом 2023 року обсяг фінансування склав 1 438,0 тис. грн, з них: 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придбано засоби навчання для навчальних кабінетів біології, географії та математики для класів Нової Української Школи у сумі 638,0 тис.</w:t>
      </w:r>
      <w:r w:rsidR="001F78C3">
        <w:t xml:space="preserve"> </w:t>
      </w:r>
      <w:r w:rsidRPr="00A94DD0">
        <w:t>грн (за рахунок коштів місцевого бюджету - 63,8 тис. грн, за рахунок субвенції з державного бюджету - 574,2 тис. грн);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отримано послуги з адміністрування електронного засобу навчального призначення «Дидактичний мультимедійний контент для 3-х класів НУШ» в режимі онлайн  на загальну суму 800,0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 xml:space="preserve">За напрямком </w:t>
      </w:r>
      <w:r w:rsidRPr="00A94DD0">
        <w:rPr>
          <w:b/>
          <w:bCs/>
        </w:rPr>
        <w:t xml:space="preserve">«Безпечне та якісне харчування у закладах освіти» </w:t>
      </w:r>
      <w:r w:rsidRPr="00A94DD0">
        <w:t>для забезпечення безкоштовним харчуванням дітей пільгових категорій, учнів 1-4 класів закладів освіти та учнів 5-11 класів закладів освіти, розташованих у населених пунктах сільської місцевості за звітний період з бюджету громади використано 10 902,7 тис. грн. Постійно здійснювався контроль за якістю води, готових страв та змивів Роменським районним управлінням Головного управління Держпродспоживслужби в Сумській області. Вартість цих робіт за 2023 рік склала 200,7 тис. грн.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t xml:space="preserve">За напрямом </w:t>
      </w:r>
      <w:r w:rsidRPr="00A94DD0">
        <w:rPr>
          <w:b/>
          <w:bCs/>
        </w:rPr>
        <w:t>«Популяризація української мови, культури, історичної свідомості через спектр заходів сфери освіти»</w:t>
      </w:r>
      <w:r w:rsidRPr="00A94DD0">
        <w:t xml:space="preserve"> для поповнення </w:t>
      </w:r>
      <w:r w:rsidRPr="00A94DD0">
        <w:rPr>
          <w:bCs/>
        </w:rPr>
        <w:t xml:space="preserve">фондів шкільних бібліотек україномовною літературою у 2023 році у шкільні бібліотеки надійшло 15042 примірників навчальної літератури на загальну суму 819,4 тис. грн, з них: 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 xml:space="preserve">навчально-методичної 1405 шт. на суму 48,6 тис. грн; 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>підручників 13567  шт. на суму 763,8 тис. грн.</w:t>
      </w:r>
    </w:p>
    <w:p w:rsidR="00A94DD0" w:rsidRPr="00A94DD0" w:rsidRDefault="00A94DD0" w:rsidP="00A94DD0">
      <w:pPr>
        <w:spacing w:line="276" w:lineRule="auto"/>
        <w:ind w:firstLine="567"/>
        <w:jc w:val="both"/>
        <w:rPr>
          <w:bCs/>
        </w:rPr>
      </w:pPr>
      <w:r w:rsidRPr="00A94DD0">
        <w:rPr>
          <w:bCs/>
        </w:rPr>
        <w:t xml:space="preserve">За напрямком </w:t>
      </w:r>
      <w:r w:rsidRPr="00A94DD0">
        <w:rPr>
          <w:b/>
        </w:rPr>
        <w:t>«Забезпечення конституційних прав дітей-сиріт та дітей, позбавлених батьківського піклування»</w:t>
      </w:r>
      <w:r w:rsidRPr="00A94DD0">
        <w:rPr>
          <w:bCs/>
        </w:rPr>
        <w:t xml:space="preserve"> виплачено одноразової грошової допомоги 24 випускникам навчальних закладів із числа дітей-сиріт та дітей, позбавлених батьківського піклування в розмірі 6-ти прожиткових мінімумів для осіб відповідного віку на загальну суму 405,2 тис. грн.</w:t>
      </w:r>
    </w:p>
    <w:p w:rsidR="00A94DD0" w:rsidRPr="00A94DD0" w:rsidRDefault="00A94DD0" w:rsidP="00A94DD0">
      <w:pPr>
        <w:spacing w:line="276" w:lineRule="auto"/>
        <w:ind w:firstLine="567"/>
        <w:jc w:val="both"/>
      </w:pPr>
      <w:r w:rsidRPr="00A94DD0">
        <w:t>Освітня галузь Роменщини активно розвивається, трансформується, адаптується, вдосконалюється. Освіта стає доступнішою, якіснішою, гнучкішою, освітній простір - новітнім, інноваційним, безпечним, здоровим, спрямованим на всебічний розвиток, соціалізацію, самореалізацію всіх учасників освітнього процесу.</w:t>
      </w:r>
    </w:p>
    <w:bookmarkEnd w:id="5"/>
    <w:p w:rsidR="0086625B" w:rsidRDefault="0086625B" w:rsidP="0086625B">
      <w:pPr>
        <w:spacing w:line="276" w:lineRule="auto"/>
        <w:ind w:firstLine="567"/>
        <w:jc w:val="both"/>
      </w:pPr>
    </w:p>
    <w:p w:rsidR="0086625B" w:rsidRDefault="0086625B" w:rsidP="0086625B">
      <w:pPr>
        <w:spacing w:line="276" w:lineRule="auto"/>
        <w:ind w:firstLine="567"/>
        <w:jc w:val="both"/>
      </w:pPr>
    </w:p>
    <w:p w:rsidR="002F79C8" w:rsidRPr="00E72758" w:rsidRDefault="002F79C8" w:rsidP="002F79C8">
      <w:pPr>
        <w:rPr>
          <w:b/>
          <w:bCs/>
          <w:color w:val="000000"/>
        </w:rPr>
      </w:pPr>
    </w:p>
    <w:p w:rsidR="002F79C8" w:rsidRPr="00634914" w:rsidRDefault="002F79C8" w:rsidP="002F79C8">
      <w:pPr>
        <w:rPr>
          <w:b/>
        </w:rPr>
      </w:pPr>
      <w:r w:rsidRPr="00634914">
        <w:rPr>
          <w:b/>
        </w:rPr>
        <w:t>Начальник відділу освіти</w:t>
      </w:r>
    </w:p>
    <w:p w:rsidR="002F79C8" w:rsidRPr="00634914" w:rsidRDefault="002F79C8" w:rsidP="002F79C8">
      <w:pPr>
        <w:rPr>
          <w:b/>
        </w:rPr>
      </w:pPr>
      <w:r w:rsidRPr="00634914">
        <w:rPr>
          <w:b/>
        </w:rPr>
        <w:t xml:space="preserve">Роменської міської ради Сумської області  </w:t>
      </w:r>
      <w:r w:rsidRPr="00634914">
        <w:rPr>
          <w:b/>
        </w:rPr>
        <w:tab/>
        <w:t xml:space="preserve">                                     Ірина ІВНИЦЬКА</w:t>
      </w:r>
    </w:p>
    <w:p w:rsidR="002F79C8" w:rsidRPr="00634914" w:rsidRDefault="002F79C8" w:rsidP="002F79C8">
      <w:pPr>
        <w:rPr>
          <w:b/>
        </w:rPr>
      </w:pPr>
    </w:p>
    <w:p w:rsidR="002F79C8" w:rsidRPr="00634914" w:rsidRDefault="002F79C8" w:rsidP="002F79C8">
      <w:pPr>
        <w:rPr>
          <w:b/>
        </w:rPr>
      </w:pPr>
      <w:r w:rsidRPr="00634914">
        <w:rPr>
          <w:b/>
        </w:rPr>
        <w:t>Погоджено</w:t>
      </w:r>
    </w:p>
    <w:p w:rsidR="002F79C8" w:rsidRPr="00634914" w:rsidRDefault="002F79C8" w:rsidP="002F79C8">
      <w:pPr>
        <w:rPr>
          <w:b/>
        </w:rPr>
      </w:pPr>
      <w:r w:rsidRPr="00634914">
        <w:rPr>
          <w:b/>
        </w:rPr>
        <w:t>Заступник міського голови з питань діяльності</w:t>
      </w:r>
    </w:p>
    <w:p w:rsidR="002F79C8" w:rsidRPr="00634914" w:rsidRDefault="002F79C8" w:rsidP="002F79C8">
      <w:pPr>
        <w:rPr>
          <w:rFonts w:eastAsia="Calibri"/>
          <w:color w:val="FF0000"/>
          <w:lang w:eastAsia="en-US"/>
        </w:rPr>
      </w:pPr>
      <w:r w:rsidRPr="00634914">
        <w:rPr>
          <w:b/>
        </w:rPr>
        <w:t xml:space="preserve">виконавчих органів ради                                                                          Василь МАРЮХА </w:t>
      </w:r>
    </w:p>
    <w:p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7CEC" w:rsidRDefault="00967CEC" w:rsidP="00FC6F34">
      <w:r>
        <w:separator/>
      </w:r>
    </w:p>
  </w:endnote>
  <w:endnote w:type="continuationSeparator" w:id="0">
    <w:p w:rsidR="00967CEC" w:rsidRDefault="00967CEC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7CEC" w:rsidRDefault="00967CEC" w:rsidP="00FC6F34">
      <w:r>
        <w:separator/>
      </w:r>
    </w:p>
  </w:footnote>
  <w:footnote w:type="continuationSeparator" w:id="0">
    <w:p w:rsidR="00967CEC" w:rsidRDefault="00967CEC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3F9"/>
    <w:rsid w:val="001158CC"/>
    <w:rsid w:val="001270AB"/>
    <w:rsid w:val="00127D06"/>
    <w:rsid w:val="001421A7"/>
    <w:rsid w:val="00154091"/>
    <w:rsid w:val="00161800"/>
    <w:rsid w:val="00164341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1F78C3"/>
    <w:rsid w:val="00213E44"/>
    <w:rsid w:val="00216D90"/>
    <w:rsid w:val="002212FE"/>
    <w:rsid w:val="00222406"/>
    <w:rsid w:val="00223D4E"/>
    <w:rsid w:val="00231C2F"/>
    <w:rsid w:val="002522A7"/>
    <w:rsid w:val="002531C9"/>
    <w:rsid w:val="00270636"/>
    <w:rsid w:val="00271AE6"/>
    <w:rsid w:val="00282A71"/>
    <w:rsid w:val="00283BA7"/>
    <w:rsid w:val="00284167"/>
    <w:rsid w:val="002A7635"/>
    <w:rsid w:val="002B2B47"/>
    <w:rsid w:val="002B3976"/>
    <w:rsid w:val="002C0A13"/>
    <w:rsid w:val="002C5012"/>
    <w:rsid w:val="002C5F0D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11523"/>
    <w:rsid w:val="00421E8E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87875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84224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67CEC"/>
    <w:rsid w:val="009760A9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94DD0"/>
    <w:rsid w:val="00AA0855"/>
    <w:rsid w:val="00AA251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4970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32501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C07BB"/>
    <w:rsid w:val="00FC1314"/>
    <w:rsid w:val="00FC2DE2"/>
    <w:rsid w:val="00FC3D42"/>
    <w:rsid w:val="00FC523A"/>
    <w:rsid w:val="00FC6F3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D678"/>
  <w15:chartTrackingRefBased/>
  <w15:docId w15:val="{37B31313-FC1C-48D2-8CB2-578641A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A94DD0"/>
    <w:pPr>
      <w:spacing w:after="120"/>
    </w:pPr>
  </w:style>
  <w:style w:type="character" w:customStyle="1" w:styleId="af0">
    <w:name w:val="Основний текст Знак"/>
    <w:link w:val="af"/>
    <w:uiPriority w:val="99"/>
    <w:semiHidden/>
    <w:rsid w:val="00A94DD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26AA-B997-4B9E-BEC4-D0796F52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6064</Words>
  <Characters>3457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2024-05-13T11:05:00Z</cp:lastPrinted>
  <dcterms:created xsi:type="dcterms:W3CDTF">2024-05-14T11:12:00Z</dcterms:created>
  <dcterms:modified xsi:type="dcterms:W3CDTF">2024-05-14T11:12:00Z</dcterms:modified>
</cp:coreProperties>
</file>