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73" w:rsidRDefault="0062491A" w:rsidP="00102173">
      <w:pPr>
        <w:pStyle w:val="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ПРОЄКТ РІШЕННЯ</w:t>
      </w:r>
    </w:p>
    <w:p w:rsidR="0062491A" w:rsidRDefault="00511154" w:rsidP="00102173">
      <w:pPr>
        <w:pStyle w:val="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</w:t>
      </w:r>
      <w:r w:rsidR="00102173">
        <w:rPr>
          <w:color w:val="auto"/>
        </w:rPr>
        <w:t xml:space="preserve"> РОМЕНСЬКОЇ МІСЬКОЇ РАДИ СУМСЬКОЇ ОБЛАСТІ</w:t>
      </w:r>
    </w:p>
    <w:p w:rsidR="0062491A" w:rsidRDefault="0062491A" w:rsidP="0062491A">
      <w:pPr>
        <w:rPr>
          <w:lang w:val="uk-UA"/>
        </w:rPr>
      </w:pPr>
    </w:p>
    <w:p w:rsidR="0062491A" w:rsidRDefault="0062491A" w:rsidP="0062491A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розгляду: 2</w:t>
      </w:r>
      <w:r w:rsidR="005F506F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.03.2024</w:t>
      </w:r>
    </w:p>
    <w:p w:rsidR="0062491A" w:rsidRDefault="0062491A" w:rsidP="0062491A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62491A" w:rsidRDefault="0062491A" w:rsidP="00624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стан виконання Програми «</w:t>
      </w:r>
      <w:r w:rsidR="00D65789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егулювання</w:t>
      </w:r>
    </w:p>
    <w:p w:rsidR="0062491A" w:rsidRDefault="0062491A" w:rsidP="00624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чисельності безпритульних тварин та поводження</w:t>
      </w:r>
    </w:p>
    <w:p w:rsidR="0062491A" w:rsidRDefault="0062491A" w:rsidP="0062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 ними у м. Ромни» на 2020-2022 роки</w:t>
      </w:r>
    </w:p>
    <w:p w:rsidR="0062491A" w:rsidRDefault="0062491A" w:rsidP="00624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491A" w:rsidRDefault="0062491A" w:rsidP="0062491A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пункту 22 частини 1 статті 26 Закону України «Про місцеве самоврядування в Україні», з метою покращення санітарного стану міста, епідеміологічної та епізодичної ситуації, загальної безпеки громадян</w:t>
      </w:r>
    </w:p>
    <w:p w:rsidR="0062491A" w:rsidRDefault="0062491A" w:rsidP="0062491A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62491A" w:rsidRDefault="0062491A" w:rsidP="0062491A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Взяти до відома інформацію заступника міського голови Владислава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Суходольського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про стан виконання Програми «Регулювання чисельності безпритульних тварин та поводження з ними у м. Ромни» на 2020-2022 роки, затвердженої рішенням міської ради від 29.11.2019 (додається).</w:t>
      </w:r>
    </w:p>
    <w:p w:rsidR="0062491A" w:rsidRDefault="0062491A" w:rsidP="0062491A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2. Зняти з контролю рішення міської ради сьомого скликання від 29.11.2019 про затвердження Програми «Регулювання чисельності безпритульних тварин та поводження з ними у м. Ромни» на 2020-2022 роки» у зв’язку з закінченням терміну її дії та виконанням.</w:t>
      </w:r>
    </w:p>
    <w:p w:rsidR="0062491A" w:rsidRDefault="0062491A" w:rsidP="0062491A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2491A" w:rsidRDefault="0062491A" w:rsidP="006249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Розробник про</w:t>
      </w:r>
      <w:r w:rsidR="00511154">
        <w:rPr>
          <w:rFonts w:ascii="Times New Roman" w:hAnsi="Times New Roman"/>
          <w:b/>
          <w:sz w:val="24"/>
          <w:szCs w:val="24"/>
          <w:lang w:val="uk-UA"/>
        </w:rPr>
        <w:t>є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1A6677" w:rsidRDefault="0062491A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5" w:history="1">
        <w:r>
          <w:rPr>
            <w:rStyle w:val="a3"/>
          </w:rPr>
          <w:t>zhkg@romny-vk.gov.ua</w:t>
        </w:r>
      </w:hyperlink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Default="001A6677" w:rsidP="001A6677">
      <w:pPr>
        <w:spacing w:after="0" w:line="240" w:lineRule="auto"/>
        <w:jc w:val="both"/>
        <w:rPr>
          <w:rStyle w:val="a3"/>
          <w:rFonts w:cs="Times New Roman"/>
          <w:lang w:val="uk-UA"/>
        </w:rPr>
      </w:pPr>
    </w:p>
    <w:p w:rsidR="001A6677" w:rsidRPr="001A6677" w:rsidRDefault="001A6677" w:rsidP="001A6677">
      <w:pPr>
        <w:spacing w:after="0" w:line="240" w:lineRule="auto"/>
        <w:jc w:val="both"/>
        <w:rPr>
          <w:rFonts w:cs="Times New Roman"/>
          <w:color w:val="0000FF" w:themeColor="hyperlink"/>
          <w:u w:val="single"/>
          <w:lang w:val="uk-UA"/>
        </w:rPr>
      </w:pPr>
      <w:bookmarkStart w:id="0" w:name="_GoBack"/>
      <w:bookmarkEnd w:id="0"/>
    </w:p>
    <w:tbl>
      <w:tblPr>
        <w:tblW w:w="0" w:type="auto"/>
        <w:tblInd w:w="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</w:tblGrid>
      <w:tr w:rsidR="001A6677" w:rsidTr="001A6677">
        <w:trPr>
          <w:trHeight w:val="699"/>
        </w:trPr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6677" w:rsidRDefault="001A667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     Міському голові</w:t>
            </w:r>
          </w:p>
          <w:p w:rsidR="001A6677" w:rsidRDefault="001A6677">
            <w:pPr>
              <w:pStyle w:val="a4"/>
              <w:tabs>
                <w:tab w:val="left" w:pos="5895"/>
              </w:tabs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Олегу СТОГНІЮ</w:t>
            </w:r>
          </w:p>
        </w:tc>
      </w:tr>
    </w:tbl>
    <w:p w:rsidR="001A6677" w:rsidRDefault="001A6677" w:rsidP="001A6677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ab/>
      </w:r>
    </w:p>
    <w:p w:rsidR="001A6677" w:rsidRDefault="001A6677" w:rsidP="001A667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1A6677" w:rsidRDefault="001A6677" w:rsidP="001A667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 Програми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«Регулювання чисельності безпритульних тварин та поводження з ними у м. Ромни» на 2020-2022 роки  </w:t>
      </w:r>
    </w:p>
    <w:p w:rsidR="001A6677" w:rsidRDefault="001A6677" w:rsidP="001A6677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A6677" w:rsidRDefault="001A6677" w:rsidP="001A6677">
      <w:pPr>
        <w:pStyle w:val="a4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Рішенням Роменської міської ради від 29.11.2019 затверджено Програму «Регулювання чисельності безпритульних тварин та поводження з ними у м. Ромни» на 2020-2022 роки.</w:t>
      </w:r>
    </w:p>
    <w:p w:rsidR="001A6677" w:rsidRDefault="001A6677" w:rsidP="001A6677">
      <w:pPr>
        <w:pStyle w:val="a4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На 2022 рік вищезазначеною Програмою було виділено кошти з місцевого бюджету Роменської міської ради по наданню даних послуг в сумі 60, 00 тисяч гривень. Тендери по наданню послуг з вилову безпритульних тварин (собак) з подальшою стерилізацією, вакцинацією та поверненням даних тварин на попереднє місце перебування не проводилися. Тому виділені кошти було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перенаправлено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на інші потреби.</w:t>
      </w:r>
    </w:p>
    <w:p w:rsidR="001A6677" w:rsidRDefault="001A6677" w:rsidP="001A6677">
      <w:pPr>
        <w:pStyle w:val="a4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У зв’язку з військово-політичною ситуацією в Україні діючі притулки переповнені безпритульними тваринами, допомогти з відловом та перевезенням з подальшим утриманням тварин притулки не мають можливості.</w:t>
      </w:r>
    </w:p>
    <w:p w:rsidR="001A6677" w:rsidRDefault="001A6677" w:rsidP="001A6677">
      <w:pPr>
        <w:pStyle w:val="a4"/>
        <w:tabs>
          <w:tab w:val="left" w:pos="1185"/>
        </w:tabs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Пропонуємо зняти з контролю рішення міської ради від 29.11.2019 про затвердження Програми «Регулювання чисельності безпритульних тварин та поводження з ними у м. Ромни» на 2020-2020 роки у зв’язку з закінченням терміну її дії та виконанням.  </w:t>
      </w:r>
    </w:p>
    <w:p w:rsidR="001A6677" w:rsidRDefault="001A6677" w:rsidP="001A6677">
      <w:pPr>
        <w:pStyle w:val="a4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1A6677" w:rsidRDefault="001A6677" w:rsidP="001A6677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житлово-</w:t>
      </w:r>
      <w:proofErr w:type="spellEnd"/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комунального господарства РМР                                                          Олена ГРЕБЕНЮК</w:t>
      </w:r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                               Владислав СУХОДОЛЬСЬКИЙ</w:t>
      </w:r>
    </w:p>
    <w:p w:rsidR="001A6677" w:rsidRDefault="001A6677" w:rsidP="001A6677">
      <w:pPr>
        <w:rPr>
          <w:rFonts w:ascii="Calibri" w:hAnsi="Calibri"/>
          <w:lang w:val="uk-UA"/>
        </w:rPr>
      </w:pPr>
    </w:p>
    <w:p w:rsidR="001A6677" w:rsidRDefault="001A6677" w:rsidP="001A6677">
      <w:pPr>
        <w:pStyle w:val="a4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1A6677" w:rsidRDefault="001A6677" w:rsidP="001A667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84CCC" w:rsidRPr="00752847" w:rsidRDefault="00984CCC" w:rsidP="00984CC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984CCC" w:rsidRPr="0075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A"/>
    <w:rsid w:val="00102173"/>
    <w:rsid w:val="001A6677"/>
    <w:rsid w:val="002C31E0"/>
    <w:rsid w:val="003945FF"/>
    <w:rsid w:val="00511154"/>
    <w:rsid w:val="005F506F"/>
    <w:rsid w:val="0062491A"/>
    <w:rsid w:val="006571B0"/>
    <w:rsid w:val="00752847"/>
    <w:rsid w:val="00984CCC"/>
    <w:rsid w:val="00BE137D"/>
    <w:rsid w:val="00D648E4"/>
    <w:rsid w:val="00D65789"/>
    <w:rsid w:val="00F6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1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49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91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62491A"/>
    <w:rPr>
      <w:color w:val="0000FF" w:themeColor="hyperlink"/>
      <w:u w:val="single"/>
    </w:rPr>
  </w:style>
  <w:style w:type="paragraph" w:styleId="a4">
    <w:name w:val="No Spacing"/>
    <w:uiPriority w:val="1"/>
    <w:qFormat/>
    <w:rsid w:val="001A66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1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49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91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62491A"/>
    <w:rPr>
      <w:color w:val="0000FF" w:themeColor="hyperlink"/>
      <w:u w:val="single"/>
    </w:rPr>
  </w:style>
  <w:style w:type="paragraph" w:styleId="a4">
    <w:name w:val="No Spacing"/>
    <w:uiPriority w:val="1"/>
    <w:qFormat/>
    <w:rsid w:val="001A66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ПРОЄКТ РІШЕННЯ</vt:lpstr>
      <vt:lpstr>РОМЕНСЬКОЇ МІСЬКОЇ РАДИ СУМСЬКОЇ ОБЛАСТІ</vt:lpstr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2024-03-12T09:28:00Z</cp:lastPrinted>
  <dcterms:created xsi:type="dcterms:W3CDTF">2024-03-12T06:48:00Z</dcterms:created>
  <dcterms:modified xsi:type="dcterms:W3CDTF">2024-03-12T12:23:00Z</dcterms:modified>
</cp:coreProperties>
</file>