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B7483D">
        <w:rPr>
          <w:rFonts w:eastAsia="Calibri"/>
          <w:b/>
          <w:noProof/>
          <w:lang w:val="uk-UA"/>
        </w:rPr>
        <w:t>ПРОЄКТ РІШЕННЯ</w:t>
      </w:r>
    </w:p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</w:p>
    <w:p w:rsidR="00B7483D" w:rsidRPr="00B7483D" w:rsidRDefault="00B7483D" w:rsidP="00B7483D">
      <w:pPr>
        <w:spacing w:line="276" w:lineRule="auto"/>
        <w:jc w:val="center"/>
        <w:rPr>
          <w:rFonts w:eastAsia="Calibri"/>
          <w:b/>
          <w:noProof/>
          <w:lang w:val="uk-UA"/>
        </w:rPr>
      </w:pPr>
      <w:r w:rsidRPr="00B7483D">
        <w:rPr>
          <w:rFonts w:eastAsia="Calibri"/>
          <w:b/>
          <w:noProof/>
          <w:lang w:val="uk-UA"/>
        </w:rPr>
        <w:t>РОМЕНСЬКОЇ МІСЬКОЇ РАДИ СУМСЬКОЇ ОБЛАСТІ</w:t>
      </w:r>
    </w:p>
    <w:p w:rsidR="00B7483D" w:rsidRPr="00B7483D" w:rsidRDefault="00B7483D" w:rsidP="00B7483D">
      <w:pPr>
        <w:spacing w:line="276" w:lineRule="auto"/>
        <w:jc w:val="both"/>
        <w:rPr>
          <w:rFonts w:eastAsia="Calibri"/>
          <w:noProof/>
          <w:lang w:val="uk-UA"/>
        </w:rPr>
      </w:pPr>
    </w:p>
    <w:p w:rsidR="00B7483D" w:rsidRDefault="00B7483D" w:rsidP="002448CD">
      <w:pPr>
        <w:spacing w:line="276" w:lineRule="auto"/>
        <w:jc w:val="both"/>
        <w:rPr>
          <w:rFonts w:eastAsia="Calibri"/>
          <w:noProof/>
          <w:lang w:val="uk-UA"/>
        </w:rPr>
      </w:pPr>
      <w:r w:rsidRPr="00B7483D">
        <w:rPr>
          <w:rFonts w:eastAsia="Calibri"/>
          <w:noProof/>
          <w:lang w:val="uk-UA"/>
        </w:rPr>
        <w:t>Дата розгляду: 24.01.2024</w:t>
      </w:r>
    </w:p>
    <w:p w:rsidR="002448CD" w:rsidRPr="002448CD" w:rsidRDefault="002448CD" w:rsidP="002448CD">
      <w:pPr>
        <w:spacing w:line="276" w:lineRule="auto"/>
        <w:jc w:val="both"/>
        <w:rPr>
          <w:bCs/>
          <w:lang w:val="uk-UA"/>
        </w:rPr>
      </w:pP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F87FB9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F87FB9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8B1BD2" w:rsidRPr="000C5F7B" w:rsidRDefault="008B1BD2" w:rsidP="008B1BD2">
      <w:pPr>
        <w:spacing w:line="276" w:lineRule="auto"/>
        <w:ind w:firstLine="425"/>
        <w:jc w:val="both"/>
        <w:rPr>
          <w:szCs w:val="20"/>
          <w:lang w:val="uk-UA"/>
        </w:rPr>
      </w:pPr>
      <w:r w:rsidRPr="00F87FB9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F87FB9">
        <w:rPr>
          <w:lang w:val="uk-UA"/>
        </w:rPr>
        <w:t>суперфіцію</w:t>
      </w:r>
      <w:proofErr w:type="spellEnd"/>
      <w:r w:rsidRPr="00F87FB9">
        <w:rPr>
          <w:lang w:val="uk-UA"/>
        </w:rPr>
        <w:t xml:space="preserve">, емфітевзису)» від 22.09.2021 № 1013, Постанови Кабінету Міністрів України «Про внесення змін до деяких актів Кабінету Міністрів України» від 28.07.2021 № </w:t>
      </w:r>
      <w:r>
        <w:rPr>
          <w:lang w:val="uk-UA"/>
        </w:rPr>
        <w:t xml:space="preserve">821, </w:t>
      </w:r>
      <w:r w:rsidRPr="00B7483D">
        <w:rPr>
          <w:lang w:val="uk-UA"/>
        </w:rPr>
        <w:t>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</w:p>
    <w:p w:rsidR="008B1BD2" w:rsidRPr="00F87FB9" w:rsidRDefault="008B1BD2" w:rsidP="008B1BD2">
      <w:pPr>
        <w:pStyle w:val="a3"/>
        <w:spacing w:before="120" w:after="120" w:line="276" w:lineRule="auto"/>
        <w:rPr>
          <w:b/>
          <w:sz w:val="24"/>
          <w:szCs w:val="24"/>
        </w:rPr>
      </w:pPr>
      <w:r w:rsidRPr="00F87FB9">
        <w:rPr>
          <w:sz w:val="24"/>
          <w:szCs w:val="24"/>
        </w:rPr>
        <w:t>МІСЬКА РАДА ВИРІШИЛА:</w:t>
      </w:r>
      <w:r w:rsidRPr="00F87FB9">
        <w:rPr>
          <w:b/>
          <w:sz w:val="24"/>
          <w:szCs w:val="24"/>
        </w:rPr>
        <w:t xml:space="preserve">  </w:t>
      </w:r>
    </w:p>
    <w:p w:rsidR="008B1BD2" w:rsidRDefault="008B1BD2" w:rsidP="008B1BD2">
      <w:pPr>
        <w:pStyle w:val="aa"/>
        <w:numPr>
          <w:ilvl w:val="0"/>
          <w:numId w:val="31"/>
        </w:numPr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87FB9">
        <w:rPr>
          <w:rFonts w:ascii="Times New Roman" w:hAnsi="Times New Roman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</w:t>
      </w:r>
      <w:r>
        <w:rPr>
          <w:rFonts w:ascii="Times New Roman" w:hAnsi="Times New Roman"/>
          <w:sz w:val="24"/>
          <w:szCs w:val="24"/>
          <w:lang w:val="uk-UA"/>
        </w:rPr>
        <w:t xml:space="preserve">сільськогосподарського призначення </w:t>
      </w:r>
      <w:r w:rsidRPr="00F87FB9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на земельних торгах надати дозвіл на розроблення </w:t>
      </w:r>
      <w:proofErr w:type="spellStart"/>
      <w:r w:rsidRPr="00F87FB9">
        <w:rPr>
          <w:rFonts w:ascii="Times New Roman" w:hAnsi="Times New Roman"/>
          <w:sz w:val="24"/>
          <w:szCs w:val="24"/>
          <w:lang w:val="uk-UA"/>
        </w:rPr>
        <w:t>проєктів</w:t>
      </w:r>
      <w:proofErr w:type="spellEnd"/>
      <w:r w:rsidRPr="00F87FB9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земельних ділянок зі зміною цільового призначення з 16.00 «Землі запасу (земельні ділянки кожної категорії земель, які не надані у власність або користування громадянам чи юридичним особам)» на 01.01 «Для ведення товарного сільськогосподарського виробництва» на земельні ділянки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87FB9">
        <w:rPr>
          <w:rFonts w:ascii="Times New Roman" w:hAnsi="Times New Roman"/>
          <w:sz w:val="24"/>
          <w:szCs w:val="24"/>
          <w:lang w:val="uk-UA"/>
        </w:rPr>
        <w:t xml:space="preserve"> зазначені в додатку </w:t>
      </w:r>
      <w:r>
        <w:rPr>
          <w:rFonts w:ascii="Times New Roman" w:hAnsi="Times New Roman"/>
          <w:sz w:val="24"/>
          <w:szCs w:val="24"/>
          <w:lang w:val="uk-UA"/>
        </w:rPr>
        <w:t>до цього рішення</w:t>
      </w:r>
      <w:r w:rsidRPr="00F87FB9">
        <w:rPr>
          <w:rFonts w:ascii="Times New Roman" w:hAnsi="Times New Roman"/>
          <w:sz w:val="24"/>
          <w:szCs w:val="24"/>
          <w:lang w:val="uk-UA"/>
        </w:rPr>
        <w:t>.</w:t>
      </w:r>
    </w:p>
    <w:p w:rsidR="008B1BD2" w:rsidRDefault="008B1BD2" w:rsidP="008B1BD2">
      <w:pPr>
        <w:pStyle w:val="aa"/>
        <w:numPr>
          <w:ilvl w:val="0"/>
          <w:numId w:val="31"/>
        </w:numPr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87FB9">
        <w:rPr>
          <w:rFonts w:ascii="Times New Roman" w:hAnsi="Times New Roman"/>
          <w:sz w:val="24"/>
          <w:szCs w:val="24"/>
          <w:lang w:val="uk-UA"/>
        </w:rPr>
        <w:t>Для здійснення підготовки лотів для продажу права оренди земельн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87FB9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F87FB9">
        <w:rPr>
          <w:rFonts w:ascii="Times New Roman" w:hAnsi="Times New Roman"/>
          <w:sz w:val="24"/>
          <w:szCs w:val="24"/>
          <w:lang w:val="uk-UA"/>
        </w:rPr>
        <w:t xml:space="preserve">к </w:t>
      </w:r>
      <w:r>
        <w:rPr>
          <w:rFonts w:ascii="Times New Roman" w:hAnsi="Times New Roman"/>
          <w:sz w:val="24"/>
          <w:szCs w:val="24"/>
          <w:lang w:val="uk-UA"/>
        </w:rPr>
        <w:t xml:space="preserve">сільськогосподарського призначення </w:t>
      </w:r>
      <w:r w:rsidRPr="00F87FB9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на земельних торгах надати дозвіл на розроблення </w:t>
      </w:r>
      <w:proofErr w:type="spellStart"/>
      <w:r w:rsidRPr="00F87FB9">
        <w:rPr>
          <w:rFonts w:ascii="Times New Roman" w:hAnsi="Times New Roman"/>
          <w:sz w:val="24"/>
          <w:szCs w:val="24"/>
          <w:lang w:val="uk-UA"/>
        </w:rPr>
        <w:t>проєкт</w:t>
      </w:r>
      <w:r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F87FB9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>
        <w:rPr>
          <w:rFonts w:ascii="Times New Roman" w:hAnsi="Times New Roman"/>
          <w:sz w:val="24"/>
          <w:szCs w:val="24"/>
          <w:lang w:val="uk-UA"/>
        </w:rPr>
        <w:t xml:space="preserve">ої </w:t>
      </w:r>
      <w:r w:rsidRPr="00F87FB9">
        <w:rPr>
          <w:rFonts w:ascii="Times New Roman" w:hAnsi="Times New Roman"/>
          <w:sz w:val="24"/>
          <w:szCs w:val="24"/>
          <w:lang w:val="uk-UA"/>
        </w:rPr>
        <w:t>ділян</w:t>
      </w:r>
      <w:r>
        <w:rPr>
          <w:rFonts w:ascii="Times New Roman" w:hAnsi="Times New Roman"/>
          <w:sz w:val="24"/>
          <w:szCs w:val="24"/>
          <w:lang w:val="uk-UA"/>
        </w:rPr>
        <w:t xml:space="preserve">ки для ведення товарного сільськогосподарського виробництва площею </w:t>
      </w:r>
      <w:r w:rsidRPr="00450E1E">
        <w:rPr>
          <w:rFonts w:ascii="Times New Roman" w:hAnsi="Times New Roman"/>
          <w:sz w:val="24"/>
          <w:szCs w:val="24"/>
          <w:lang w:val="uk-UA"/>
        </w:rPr>
        <w:t xml:space="preserve">7,2887 га, що розташована на території </w:t>
      </w:r>
      <w:proofErr w:type="spellStart"/>
      <w:r w:rsidRPr="00450E1E">
        <w:rPr>
          <w:rFonts w:ascii="Times New Roman" w:hAnsi="Times New Roman"/>
          <w:sz w:val="24"/>
          <w:szCs w:val="24"/>
          <w:lang w:val="uk-UA"/>
        </w:rPr>
        <w:t>Бобрицького</w:t>
      </w:r>
      <w:proofErr w:type="spellEnd"/>
      <w:r w:rsidRPr="00450E1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E1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50E1E">
        <w:rPr>
          <w:rFonts w:ascii="Times New Roman" w:hAnsi="Times New Roman"/>
          <w:sz w:val="24"/>
          <w:szCs w:val="24"/>
          <w:lang w:val="uk-UA"/>
        </w:rPr>
        <w:t xml:space="preserve"> округу в межах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1BD2" w:rsidRPr="0074522A" w:rsidRDefault="008B1BD2" w:rsidP="008B1BD2">
      <w:pPr>
        <w:pStyle w:val="aa"/>
        <w:numPr>
          <w:ilvl w:val="0"/>
          <w:numId w:val="31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4522A">
        <w:rPr>
          <w:rFonts w:ascii="Times New Roman" w:hAnsi="Times New Roman"/>
          <w:sz w:val="24"/>
          <w:szCs w:val="24"/>
          <w:lang w:val="uk-UA"/>
        </w:rPr>
        <w:t xml:space="preserve">Для здійснення підготовки лотів для продажу права оренди земельних ділянок </w:t>
      </w:r>
      <w:r>
        <w:rPr>
          <w:rFonts w:ascii="Times New Roman" w:hAnsi="Times New Roman"/>
          <w:sz w:val="24"/>
          <w:szCs w:val="24"/>
          <w:lang w:val="uk-UA"/>
        </w:rPr>
        <w:t>сільськогосподарського призначення</w:t>
      </w:r>
      <w:r w:rsidRPr="0074522A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на земельних торгах надати згоду на поділ земельної ділянки комунальної власності Роменської міської ради площею </w:t>
      </w:r>
      <w:r>
        <w:rPr>
          <w:rFonts w:ascii="Times New Roman" w:hAnsi="Times New Roman"/>
          <w:sz w:val="24"/>
          <w:szCs w:val="24"/>
          <w:lang w:val="uk-UA"/>
        </w:rPr>
        <w:t>21,</w:t>
      </w:r>
      <w:r w:rsidRPr="00365852">
        <w:rPr>
          <w:rFonts w:ascii="Times New Roman" w:hAnsi="Times New Roman"/>
          <w:sz w:val="24"/>
          <w:szCs w:val="24"/>
          <w:lang w:val="uk-UA"/>
        </w:rPr>
        <w:t>2412</w:t>
      </w:r>
      <w:r>
        <w:rPr>
          <w:rFonts w:ascii="Times New Roman" w:hAnsi="Times New Roman"/>
          <w:sz w:val="24"/>
          <w:szCs w:val="24"/>
          <w:lang w:val="uk-UA"/>
        </w:rPr>
        <w:t xml:space="preserve"> га (кадастровий номер </w:t>
      </w:r>
      <w:r w:rsidRPr="00365852">
        <w:rPr>
          <w:rFonts w:ascii="Times New Roman" w:hAnsi="Times New Roman"/>
          <w:sz w:val="24"/>
          <w:szCs w:val="24"/>
          <w:lang w:val="uk-UA"/>
        </w:rPr>
        <w:t>5924188500:03:005:0071</w:t>
      </w:r>
      <w:r>
        <w:rPr>
          <w:rFonts w:ascii="Times New Roman" w:hAnsi="Times New Roman"/>
          <w:sz w:val="24"/>
          <w:szCs w:val="24"/>
          <w:lang w:val="uk-UA"/>
        </w:rPr>
        <w:t xml:space="preserve">) з цільовим призначенням </w:t>
      </w:r>
      <w:r w:rsidRPr="0074522A">
        <w:rPr>
          <w:rFonts w:ascii="Times New Roman" w:hAnsi="Times New Roman"/>
          <w:sz w:val="24"/>
          <w:szCs w:val="24"/>
          <w:lang w:val="uk-UA"/>
        </w:rPr>
        <w:t>«земельні ділянки запасу (земельні ділянки, які не надані у власність або користування громадянами чи юридичними особами)»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50E1E">
        <w:rPr>
          <w:rFonts w:ascii="Times New Roman" w:hAnsi="Times New Roman"/>
          <w:sz w:val="24"/>
          <w:szCs w:val="24"/>
          <w:lang w:val="uk-UA"/>
        </w:rPr>
        <w:t xml:space="preserve">що розташована </w:t>
      </w:r>
      <w:r>
        <w:rPr>
          <w:rFonts w:ascii="Times New Roman" w:hAnsi="Times New Roman"/>
          <w:sz w:val="24"/>
          <w:szCs w:val="24"/>
          <w:lang w:val="uk-UA"/>
        </w:rPr>
        <w:t xml:space="preserve">за межами населених пунктів </w:t>
      </w:r>
      <w:r w:rsidRPr="00450E1E">
        <w:rPr>
          <w:rFonts w:ascii="Times New Roman" w:hAnsi="Times New Roman"/>
          <w:sz w:val="24"/>
          <w:szCs w:val="24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Рогинського</w:t>
      </w:r>
      <w:proofErr w:type="spellEnd"/>
      <w:r w:rsidRPr="00450E1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0E1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450E1E">
        <w:rPr>
          <w:rFonts w:ascii="Times New Roman" w:hAnsi="Times New Roman"/>
          <w:sz w:val="24"/>
          <w:szCs w:val="24"/>
          <w:lang w:val="uk-UA"/>
        </w:rPr>
        <w:t xml:space="preserve"> округу в межах Роменської міської територіальної громади</w:t>
      </w:r>
      <w:r w:rsidRPr="0074522A">
        <w:rPr>
          <w:rFonts w:ascii="Times New Roman" w:hAnsi="Times New Roman"/>
          <w:sz w:val="24"/>
          <w:szCs w:val="24"/>
          <w:lang w:val="uk-UA"/>
        </w:rPr>
        <w:t>, на дві окремі земельні ділянки: земельна д</w:t>
      </w:r>
      <w:r>
        <w:rPr>
          <w:rFonts w:ascii="Times New Roman" w:hAnsi="Times New Roman"/>
          <w:sz w:val="24"/>
          <w:szCs w:val="24"/>
          <w:lang w:val="uk-UA"/>
        </w:rPr>
        <w:t>ілянка № 1 орієнтовною площею 13</w:t>
      </w:r>
      <w:r w:rsidRPr="0074522A">
        <w:rPr>
          <w:rFonts w:ascii="Times New Roman" w:hAnsi="Times New Roman"/>
          <w:sz w:val="24"/>
          <w:szCs w:val="24"/>
          <w:lang w:val="uk-UA"/>
        </w:rPr>
        <w:t xml:space="preserve">,0000 га та земельна ділянка № 2 орієнтовною площею </w:t>
      </w:r>
      <w:r>
        <w:rPr>
          <w:rFonts w:ascii="Times New Roman" w:hAnsi="Times New Roman"/>
          <w:sz w:val="24"/>
          <w:szCs w:val="24"/>
          <w:lang w:val="uk-UA"/>
        </w:rPr>
        <w:t>8,2412</w:t>
      </w:r>
      <w:r w:rsidRPr="0074522A">
        <w:rPr>
          <w:rFonts w:ascii="Times New Roman" w:hAnsi="Times New Roman"/>
          <w:sz w:val="24"/>
          <w:szCs w:val="24"/>
          <w:lang w:val="uk-UA"/>
        </w:rPr>
        <w:t xml:space="preserve"> га.</w:t>
      </w:r>
    </w:p>
    <w:p w:rsidR="008B1BD2" w:rsidRPr="0074522A" w:rsidRDefault="008B1BD2" w:rsidP="008B1BD2">
      <w:pPr>
        <w:pStyle w:val="aa"/>
        <w:numPr>
          <w:ilvl w:val="1"/>
          <w:numId w:val="3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4522A">
        <w:rPr>
          <w:rFonts w:ascii="Times New Roman" w:hAnsi="Times New Roman"/>
          <w:sz w:val="24"/>
          <w:szCs w:val="24"/>
          <w:lang w:val="uk-UA"/>
        </w:rPr>
        <w:lastRenderedPageBreak/>
        <w:t xml:space="preserve">Надати дозвіл на розроблення </w:t>
      </w:r>
      <w:proofErr w:type="spellStart"/>
      <w:r w:rsidRPr="0074522A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74522A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земельної ділянки на земельну д</w:t>
      </w:r>
      <w:r>
        <w:rPr>
          <w:rFonts w:ascii="Times New Roman" w:hAnsi="Times New Roman"/>
          <w:sz w:val="24"/>
          <w:szCs w:val="24"/>
          <w:lang w:val="uk-UA"/>
        </w:rPr>
        <w:t>ілянку № 1 орієнтовною площею 13</w:t>
      </w:r>
      <w:r w:rsidRPr="0074522A">
        <w:rPr>
          <w:rFonts w:ascii="Times New Roman" w:hAnsi="Times New Roman"/>
          <w:sz w:val="24"/>
          <w:szCs w:val="24"/>
          <w:lang w:val="uk-UA"/>
        </w:rPr>
        <w:t xml:space="preserve">,0000 га зі </w:t>
      </w:r>
      <w:r>
        <w:rPr>
          <w:rFonts w:ascii="Times New Roman" w:hAnsi="Times New Roman"/>
          <w:sz w:val="24"/>
          <w:szCs w:val="24"/>
          <w:lang w:val="uk-UA"/>
        </w:rPr>
        <w:t>зміною цільового призначення з 01.17 «З</w:t>
      </w:r>
      <w:r w:rsidRPr="0074522A">
        <w:rPr>
          <w:rFonts w:ascii="Times New Roman" w:hAnsi="Times New Roman"/>
          <w:sz w:val="24"/>
          <w:szCs w:val="24"/>
          <w:lang w:val="uk-UA"/>
        </w:rPr>
        <w:t xml:space="preserve">емельні ділянки запасу (земельні ділянки, які не надані у власність або користування громадянами чи юридичними особами)» на </w:t>
      </w:r>
      <w:r>
        <w:rPr>
          <w:rFonts w:ascii="Times New Roman" w:hAnsi="Times New Roman"/>
          <w:sz w:val="24"/>
          <w:szCs w:val="24"/>
          <w:lang w:val="uk-UA"/>
        </w:rPr>
        <w:t xml:space="preserve">01.01 </w:t>
      </w:r>
      <w:r w:rsidRPr="0074522A">
        <w:rPr>
          <w:rFonts w:ascii="Times New Roman" w:hAnsi="Times New Roman"/>
          <w:sz w:val="24"/>
          <w:szCs w:val="24"/>
          <w:lang w:val="uk-UA"/>
        </w:rPr>
        <w:t>«Для ведення товарного сільськогосподарського виробництва».</w:t>
      </w:r>
    </w:p>
    <w:p w:rsidR="008B1BD2" w:rsidRPr="00F84B21" w:rsidRDefault="008B1BD2" w:rsidP="008B1BD2">
      <w:pPr>
        <w:pStyle w:val="aa"/>
        <w:numPr>
          <w:ilvl w:val="1"/>
          <w:numId w:val="3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F84B21">
        <w:rPr>
          <w:rFonts w:ascii="Times New Roman" w:hAnsi="Times New Roman"/>
          <w:sz w:val="24"/>
          <w:szCs w:val="24"/>
          <w:lang w:val="uk-UA"/>
        </w:rPr>
        <w:t xml:space="preserve">алишити як землі запасу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F84B21">
        <w:rPr>
          <w:rFonts w:ascii="Times New Roman" w:hAnsi="Times New Roman"/>
          <w:sz w:val="24"/>
          <w:szCs w:val="24"/>
          <w:lang w:val="uk-UA"/>
        </w:rPr>
        <w:t xml:space="preserve">емельну ділянку № 2 орієнтовною площею </w:t>
      </w:r>
      <w:r>
        <w:rPr>
          <w:rFonts w:ascii="Times New Roman" w:hAnsi="Times New Roman"/>
          <w:sz w:val="24"/>
          <w:szCs w:val="24"/>
          <w:lang w:val="uk-UA"/>
        </w:rPr>
        <w:t>8,2412</w:t>
      </w:r>
      <w:r w:rsidRPr="00F84B21">
        <w:rPr>
          <w:rFonts w:ascii="Times New Roman" w:hAnsi="Times New Roman"/>
          <w:sz w:val="24"/>
          <w:szCs w:val="24"/>
          <w:lang w:val="uk-UA"/>
        </w:rPr>
        <w:t xml:space="preserve"> га.</w:t>
      </w:r>
    </w:p>
    <w:p w:rsidR="00834FD0" w:rsidRPr="00F87FB9" w:rsidRDefault="00834FD0" w:rsidP="006B2B9A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B7483D" w:rsidRPr="00B7483D" w:rsidRDefault="00B7483D" w:rsidP="00B7483D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 xml:space="preserve">Розробник </w:t>
      </w:r>
      <w:proofErr w:type="spellStart"/>
      <w:r w:rsidRPr="00B7483D">
        <w:rPr>
          <w:b/>
          <w:lang w:val="uk-UA"/>
        </w:rPr>
        <w:t>проєкту</w:t>
      </w:r>
      <w:proofErr w:type="spellEnd"/>
      <w:r w:rsidRPr="00B7483D">
        <w:rPr>
          <w:b/>
          <w:lang w:val="uk-UA"/>
        </w:rPr>
        <w:t>:</w:t>
      </w:r>
      <w:r w:rsidRPr="00B7483D">
        <w:rPr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:rsidR="00B7483D" w:rsidRPr="00B7483D" w:rsidRDefault="00B7483D" w:rsidP="00B7483D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>Пропозиції та зауваження</w:t>
      </w:r>
      <w:r w:rsidRPr="00B7483D">
        <w:rPr>
          <w:lang w:val="uk-UA"/>
        </w:rPr>
        <w:t xml:space="preserve"> до </w:t>
      </w:r>
      <w:proofErr w:type="spellStart"/>
      <w:r w:rsidRPr="00B7483D">
        <w:rPr>
          <w:lang w:val="uk-UA"/>
        </w:rPr>
        <w:t>проєкту</w:t>
      </w:r>
      <w:proofErr w:type="spellEnd"/>
      <w:r w:rsidRPr="00B7483D">
        <w:rPr>
          <w:lang w:val="uk-UA"/>
        </w:rPr>
        <w:t xml:space="preserve"> приймаються до 16.01.2024 за тел. 5 32 57 або у </w:t>
      </w:r>
      <w:proofErr w:type="spellStart"/>
      <w:r w:rsidRPr="00B7483D">
        <w:rPr>
          <w:lang w:val="uk-UA"/>
        </w:rPr>
        <w:t>каб</w:t>
      </w:r>
      <w:proofErr w:type="spellEnd"/>
      <w:r w:rsidRPr="00B7483D">
        <w:rPr>
          <w:lang w:val="uk-UA"/>
        </w:rPr>
        <w:t>. № 10 Роменської міської ради.</w:t>
      </w:r>
    </w:p>
    <w:p w:rsidR="00B7483D" w:rsidRPr="00B7483D" w:rsidRDefault="00B7483D" w:rsidP="00B7483D">
      <w:pPr>
        <w:spacing w:line="276" w:lineRule="auto"/>
        <w:jc w:val="both"/>
        <w:rPr>
          <w:lang w:val="uk-UA"/>
        </w:rPr>
      </w:pPr>
      <w:r w:rsidRPr="00B7483D">
        <w:rPr>
          <w:b/>
          <w:lang w:val="uk-UA"/>
        </w:rPr>
        <w:t>Текст рішення може бути додатково уточнено</w:t>
      </w:r>
      <w:r w:rsidRPr="00B7483D">
        <w:rPr>
          <w:lang w:val="uk-UA"/>
        </w:rPr>
        <w:t>.</w:t>
      </w: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4B21" w:rsidRPr="00F87FB9" w:rsidRDefault="00F84B21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34FD0" w:rsidRPr="00F87FB9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8B1BD2" w:rsidRPr="00F87FB9" w:rsidRDefault="008B1BD2" w:rsidP="008B1BD2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lastRenderedPageBreak/>
        <w:t xml:space="preserve">Додаток </w:t>
      </w:r>
    </w:p>
    <w:p w:rsidR="008B1BD2" w:rsidRDefault="008B1BD2" w:rsidP="008B1BD2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F87FB9">
        <w:rPr>
          <w:b/>
          <w:lang w:val="uk-UA"/>
        </w:rPr>
        <w:t xml:space="preserve">рішення </w:t>
      </w:r>
    </w:p>
    <w:p w:rsidR="008B1BD2" w:rsidRPr="00F87FB9" w:rsidRDefault="008B1BD2" w:rsidP="008B1BD2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>міської ради</w:t>
      </w:r>
    </w:p>
    <w:p w:rsidR="008B1BD2" w:rsidRPr="00F87FB9" w:rsidRDefault="008B1BD2" w:rsidP="008B1BD2">
      <w:pPr>
        <w:pStyle w:val="a9"/>
        <w:spacing w:line="276" w:lineRule="auto"/>
        <w:ind w:left="6379"/>
        <w:rPr>
          <w:b/>
          <w:lang w:val="uk-UA"/>
        </w:rPr>
      </w:pPr>
      <w:r w:rsidRPr="00F87FB9">
        <w:rPr>
          <w:b/>
          <w:lang w:val="uk-UA"/>
        </w:rPr>
        <w:t xml:space="preserve">від </w:t>
      </w:r>
      <w:r>
        <w:rPr>
          <w:b/>
          <w:lang w:val="uk-UA"/>
        </w:rPr>
        <w:t>24.01.2024</w:t>
      </w:r>
    </w:p>
    <w:p w:rsidR="008B1BD2" w:rsidRPr="00F87FB9" w:rsidRDefault="008B1BD2" w:rsidP="008B1BD2">
      <w:pPr>
        <w:pStyle w:val="a9"/>
        <w:spacing w:before="240" w:line="276" w:lineRule="auto"/>
        <w:ind w:left="0"/>
        <w:jc w:val="center"/>
        <w:rPr>
          <w:b/>
          <w:lang w:val="uk-UA"/>
        </w:rPr>
      </w:pPr>
      <w:r w:rsidRPr="00F87FB9">
        <w:rPr>
          <w:b/>
          <w:lang w:val="uk-UA"/>
        </w:rPr>
        <w:t>Перелік земельних ділянок</w:t>
      </w:r>
    </w:p>
    <w:p w:rsidR="008B1BD2" w:rsidRPr="00F87FB9" w:rsidRDefault="008B1BD2" w:rsidP="008B1BD2">
      <w:pPr>
        <w:pStyle w:val="a9"/>
        <w:spacing w:after="240" w:line="276" w:lineRule="auto"/>
        <w:ind w:left="0"/>
        <w:jc w:val="center"/>
        <w:rPr>
          <w:b/>
          <w:lang w:val="uk-UA"/>
        </w:rPr>
      </w:pPr>
      <w:r w:rsidRPr="00F87FB9">
        <w:rPr>
          <w:b/>
          <w:lang w:val="uk-UA"/>
        </w:rPr>
        <w:t>для підготовки лотів для продажу права оренди земельних ділянок комунальної власності на земельних торгах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98"/>
        <w:gridCol w:w="1120"/>
        <w:gridCol w:w="2665"/>
        <w:gridCol w:w="1254"/>
      </w:tblGrid>
      <w:tr w:rsidR="008B1BD2" w:rsidRPr="00922F49" w:rsidTr="004E475C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Кадастровий номер земельної ділянки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Місце-розташування земельної ділянки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Площа, га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Цільове призначення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b/>
                <w:lang w:val="uk-UA"/>
              </w:rPr>
            </w:pPr>
            <w:r w:rsidRPr="00922F49">
              <w:rPr>
                <w:b/>
                <w:lang w:val="uk-UA"/>
              </w:rPr>
              <w:t>Умови продажу</w:t>
            </w:r>
          </w:p>
        </w:tc>
      </w:tr>
      <w:tr w:rsidR="008B1BD2" w:rsidRPr="00922F49" w:rsidTr="004E475C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lang w:val="uk-UA"/>
              </w:rPr>
            </w:pPr>
            <w:r w:rsidRPr="00922F49">
              <w:rPr>
                <w:lang w:val="uk-UA"/>
              </w:rPr>
              <w:t>6</w:t>
            </w:r>
          </w:p>
        </w:tc>
      </w:tr>
      <w:tr w:rsidR="008B1BD2" w:rsidRPr="00922F49" w:rsidTr="004E475C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shd w:val="clear" w:color="auto" w:fill="FFFFFF"/>
              </w:rPr>
              <w:t>5924185800:01:004:0280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Довгополівського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2,2790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  <w:tr w:rsidR="008B1BD2" w:rsidRPr="00922F49" w:rsidTr="004E475C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shd w:val="clear" w:color="auto" w:fill="FFFFFF"/>
              </w:rPr>
              <w:t>5924185800:01:003:0319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Довгополівського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1,8051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  <w:tr w:rsidR="008B1BD2" w:rsidRPr="00922F49" w:rsidTr="004E475C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shd w:val="clear" w:color="auto" w:fill="FFFFFF"/>
              </w:rPr>
              <w:t>5924186400:02:004:0267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Миколаївського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shd w:val="clear" w:color="auto" w:fill="FFFFFF"/>
              </w:rPr>
              <w:t>2</w:t>
            </w:r>
            <w:r w:rsidRPr="00922F49">
              <w:rPr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922F49">
              <w:rPr>
                <w:sz w:val="22"/>
                <w:szCs w:val="22"/>
                <w:shd w:val="clear" w:color="auto" w:fill="FFFFFF"/>
              </w:rPr>
              <w:t>8427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  <w:tr w:rsidR="008B1BD2" w:rsidRPr="00922F49" w:rsidTr="004E475C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E5768">
              <w:rPr>
                <w:sz w:val="22"/>
                <w:szCs w:val="22"/>
                <w:shd w:val="clear" w:color="auto" w:fill="FFFFFF"/>
              </w:rPr>
              <w:t>5924186400:01:003:0330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Миколаївського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E5768">
              <w:rPr>
                <w:sz w:val="22"/>
                <w:szCs w:val="22"/>
                <w:shd w:val="clear" w:color="auto" w:fill="FFFFFF"/>
              </w:rPr>
              <w:t>7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AE5768">
              <w:rPr>
                <w:sz w:val="22"/>
                <w:szCs w:val="22"/>
                <w:shd w:val="clear" w:color="auto" w:fill="FFFFFF"/>
              </w:rPr>
              <w:t>6391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  <w:tr w:rsidR="008B1BD2" w:rsidRPr="00922F49" w:rsidTr="004E475C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AE5768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47873">
              <w:rPr>
                <w:sz w:val="22"/>
                <w:szCs w:val="22"/>
                <w:shd w:val="clear" w:color="auto" w:fill="FFFFFF"/>
              </w:rPr>
              <w:t>5924184100:01:004:0448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</w:t>
            </w:r>
            <w:proofErr w:type="spellStart"/>
            <w:r>
              <w:rPr>
                <w:sz w:val="22"/>
                <w:szCs w:val="22"/>
                <w:lang w:val="uk-UA"/>
              </w:rPr>
              <w:t>Галківського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AE5768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47873">
              <w:rPr>
                <w:sz w:val="22"/>
                <w:szCs w:val="22"/>
                <w:shd w:val="clear" w:color="auto" w:fill="FFFFFF"/>
              </w:rPr>
              <w:t>7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847873">
              <w:rPr>
                <w:sz w:val="22"/>
                <w:szCs w:val="22"/>
                <w:shd w:val="clear" w:color="auto" w:fill="FFFFFF"/>
              </w:rPr>
              <w:t>3197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</w:tbl>
    <w:p w:rsidR="008B1BD2" w:rsidRPr="00C9026E" w:rsidRDefault="008B1BD2" w:rsidP="008B1BD2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додатку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98"/>
        <w:gridCol w:w="1120"/>
        <w:gridCol w:w="2665"/>
        <w:gridCol w:w="1254"/>
      </w:tblGrid>
      <w:tr w:rsidR="008B1BD2" w:rsidRPr="00922F49" w:rsidTr="004E47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C9026E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C9026E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8B1BD2" w:rsidRPr="00922F49" w:rsidTr="004E475C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C9026E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</w:rPr>
              <w:t>5924184100:01:004:044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 xml:space="preserve">на території </w:t>
            </w:r>
            <w:proofErr w:type="spellStart"/>
            <w:r>
              <w:rPr>
                <w:sz w:val="22"/>
                <w:szCs w:val="22"/>
                <w:lang w:val="uk-UA"/>
              </w:rPr>
              <w:t>Галківського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22F49">
              <w:rPr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922F49">
              <w:rPr>
                <w:sz w:val="22"/>
                <w:szCs w:val="22"/>
                <w:lang w:val="uk-UA"/>
              </w:rPr>
              <w:t xml:space="preserve"> округу в межах Роменської міської територіальної громади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847873" w:rsidRDefault="008B1BD2" w:rsidP="004E475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  <w:r>
              <w:rPr>
                <w:sz w:val="22"/>
                <w:szCs w:val="22"/>
                <w:shd w:val="clear" w:color="auto" w:fill="FFFFFF"/>
                <w:lang w:val="uk-UA"/>
              </w:rPr>
              <w:t>,</w:t>
            </w:r>
            <w:r w:rsidRPr="00C9026E">
              <w:rPr>
                <w:sz w:val="22"/>
                <w:szCs w:val="22"/>
                <w:shd w:val="clear" w:color="auto" w:fill="FFFFFF"/>
              </w:rPr>
              <w:t>4849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BD2" w:rsidRPr="00922F49" w:rsidRDefault="008B1BD2" w:rsidP="004E475C">
            <w:pPr>
              <w:jc w:val="center"/>
              <w:rPr>
                <w:sz w:val="22"/>
                <w:szCs w:val="22"/>
                <w:lang w:val="uk-UA"/>
              </w:rPr>
            </w:pPr>
            <w:r w:rsidRPr="00922F49">
              <w:rPr>
                <w:sz w:val="22"/>
                <w:szCs w:val="22"/>
                <w:lang w:val="uk-UA"/>
              </w:rPr>
              <w:t>оренда</w:t>
            </w:r>
          </w:p>
        </w:tc>
      </w:tr>
    </w:tbl>
    <w:p w:rsidR="008B1BD2" w:rsidRDefault="008B1BD2" w:rsidP="008B1BD2">
      <w:pPr>
        <w:spacing w:line="276" w:lineRule="auto"/>
        <w:jc w:val="center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  <w:bookmarkStart w:id="0" w:name="_GoBack"/>
      <w:bookmarkEnd w:id="0"/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F87FB9" w:rsidRDefault="00834FD0" w:rsidP="00834FD0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34FD0" w:rsidRPr="00450E1E" w:rsidRDefault="00834FD0" w:rsidP="00450E1E">
      <w:pPr>
        <w:spacing w:line="276" w:lineRule="auto"/>
        <w:jc w:val="both"/>
        <w:rPr>
          <w:b/>
          <w:lang w:val="uk-UA"/>
        </w:rPr>
      </w:pPr>
    </w:p>
    <w:sectPr w:rsidR="00834FD0" w:rsidRPr="00450E1E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3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9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4"/>
  </w:num>
  <w:num w:numId="5">
    <w:abstractNumId w:val="13"/>
  </w:num>
  <w:num w:numId="6">
    <w:abstractNumId w:val="2"/>
  </w:num>
  <w:num w:numId="7">
    <w:abstractNumId w:val="7"/>
  </w:num>
  <w:num w:numId="8">
    <w:abstractNumId w:val="15"/>
  </w:num>
  <w:num w:numId="9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  <w:num w:numId="21">
    <w:abstractNumId w:val="5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D1B"/>
    <w:rsid w:val="00540421"/>
    <w:rsid w:val="0054044E"/>
    <w:rsid w:val="005406D5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1BD2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33C2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334C-C147-464D-8005-6E7AB5B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4</cp:revision>
  <cp:lastPrinted>2024-01-08T13:51:00Z</cp:lastPrinted>
  <dcterms:created xsi:type="dcterms:W3CDTF">2024-01-20T12:15:00Z</dcterms:created>
  <dcterms:modified xsi:type="dcterms:W3CDTF">2024-01-20T12:33:00Z</dcterms:modified>
</cp:coreProperties>
</file>