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545FAF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16.02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740D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545FAF" w:rsidRDefault="00055429" w:rsidP="0081241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545FA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81241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14</w:t>
            </w:r>
            <w:r w:rsidR="00545FA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4704DA" w:rsidTr="00650451">
        <w:tc>
          <w:tcPr>
            <w:tcW w:w="5778" w:type="dxa"/>
          </w:tcPr>
          <w:p w:rsidR="004704DA" w:rsidRPr="007A4193" w:rsidRDefault="004704DA" w:rsidP="007C7E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визначення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</w:t>
            </w:r>
            <w:r w:rsidR="008D55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Ільїнський ярмарок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Роменської міської ради</w:t>
            </w:r>
            <w:r w:rsidR="005A27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ем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 коштів</w:t>
            </w:r>
          </w:p>
        </w:tc>
        <w:tc>
          <w:tcPr>
            <w:tcW w:w="3792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6E362C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55429" w:rsidRDefault="009A5114" w:rsidP="00740D3B">
      <w:pPr>
        <w:spacing w:after="15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ів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228, Програм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 w:rsidR="00800BB7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та відпочинку ім. Т.Г. Шевченка на 2020-2023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967B87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міської ради від </w:t>
      </w:r>
      <w:r w:rsidR="00994A06" w:rsidRPr="005A272D">
        <w:rPr>
          <w:rFonts w:ascii="Times New Roman" w:hAnsi="Times New Roman" w:cs="Times New Roman"/>
          <w:sz w:val="24"/>
          <w:szCs w:val="24"/>
          <w:lang w:val="uk-UA"/>
        </w:rPr>
        <w:t>21.11</w:t>
      </w:r>
      <w:r w:rsidR="00967B87" w:rsidRPr="005A272D">
        <w:rPr>
          <w:rFonts w:ascii="Times New Roman" w:hAnsi="Times New Roman" w:cs="Times New Roman"/>
          <w:sz w:val="24"/>
          <w:szCs w:val="24"/>
          <w:lang w:val="uk-UA"/>
        </w:rPr>
        <w:t>.2019,</w:t>
      </w:r>
      <w:r w:rsidR="00740D3B" w:rsidRPr="005A272D">
        <w:rPr>
          <w:rFonts w:ascii="Times New Roman" w:hAnsi="Times New Roman" w:cs="Times New Roman"/>
          <w:sz w:val="24"/>
          <w:szCs w:val="24"/>
          <w:lang w:val="uk-UA"/>
        </w:rPr>
        <w:t xml:space="preserve"> з метою</w:t>
      </w:r>
      <w:r w:rsidR="00994A06" w:rsidRPr="005A272D">
        <w:rPr>
          <w:rFonts w:ascii="Times New Roman" w:hAnsi="Times New Roman" w:cs="Times New Roman"/>
          <w:sz w:val="24"/>
          <w:szCs w:val="24"/>
          <w:lang w:val="uk-UA"/>
        </w:rPr>
        <w:t xml:space="preserve"> фінансування заходів по </w:t>
      </w:r>
      <w:r w:rsidR="00994A06" w:rsidRPr="005A272D">
        <w:rPr>
          <w:rFonts w:ascii="Times New Roman" w:hAnsi="Times New Roman"/>
          <w:sz w:val="24"/>
          <w:szCs w:val="24"/>
          <w:lang w:val="uk-UA"/>
        </w:rPr>
        <w:t xml:space="preserve">забезпеченню благоустрою </w:t>
      </w:r>
      <w:r w:rsidR="00431CCF" w:rsidRPr="005A272D">
        <w:rPr>
          <w:rFonts w:ascii="Times New Roman" w:hAnsi="Times New Roman"/>
          <w:sz w:val="24"/>
          <w:szCs w:val="24"/>
          <w:lang w:val="uk-UA"/>
        </w:rPr>
        <w:t>та утриманню на належному рівні зеленої зони парку</w:t>
      </w:r>
    </w:p>
    <w:p w:rsidR="007B220C" w:rsidRPr="007B220C" w:rsidRDefault="00055429" w:rsidP="00740D3B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247B3A" w:rsidRDefault="000D77E9" w:rsidP="00740D3B">
      <w:pPr>
        <w:spacing w:after="15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>1. Визначити  комунальне  підприємство  «</w:t>
      </w:r>
      <w:r w:rsidR="008D55CD">
        <w:rPr>
          <w:rFonts w:ascii="Times New Roman" w:hAnsi="Times New Roman" w:cs="Times New Roman"/>
          <w:sz w:val="24"/>
          <w:szCs w:val="24"/>
          <w:lang w:val="uk-UA"/>
        </w:rPr>
        <w:t>Ільїнський ярмарок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</w:t>
      </w:r>
      <w:r w:rsidR="005A272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 </w:t>
      </w:r>
      <w:r w:rsidR="00740D3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 w:rsidR="00740D3B">
        <w:rPr>
          <w:rFonts w:ascii="Times New Roman" w:hAnsi="Times New Roman" w:cs="Times New Roman"/>
          <w:sz w:val="24"/>
          <w:szCs w:val="24"/>
          <w:lang w:val="uk-UA"/>
        </w:rPr>
        <w:t>оці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за  видатками  головного  розпорядника  бюджетних  коштів  –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1216030 </w:t>
      </w:r>
      <w:r w:rsidR="0018211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>я благоустрою населених пунктів</w:t>
      </w:r>
      <w:r w:rsidR="00431CC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272D">
        <w:rPr>
          <w:rFonts w:ascii="Times New Roman" w:hAnsi="Times New Roman" w:cs="Times New Roman"/>
          <w:sz w:val="24"/>
          <w:szCs w:val="24"/>
          <w:lang w:val="uk-UA"/>
        </w:rPr>
        <w:t>КЕКВ</w:t>
      </w:r>
      <w:r w:rsidR="00F46E9C" w:rsidRPr="005A27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E9C">
        <w:rPr>
          <w:rFonts w:ascii="Times New Roman" w:hAnsi="Times New Roman" w:cs="Times New Roman"/>
          <w:sz w:val="24"/>
          <w:szCs w:val="24"/>
          <w:lang w:val="uk-UA"/>
        </w:rPr>
        <w:t>2610 «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Субсидії  та  поточні  трансферти  підприємствам,</w:t>
      </w:r>
      <w:r w:rsidR="00740D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E9C">
        <w:rPr>
          <w:rFonts w:ascii="Times New Roman" w:hAnsi="Times New Roman" w:cs="Times New Roman"/>
          <w:sz w:val="24"/>
          <w:szCs w:val="24"/>
          <w:lang w:val="uk-UA"/>
        </w:rPr>
        <w:t xml:space="preserve">установам, організаціям» </w:t>
      </w:r>
      <w:r w:rsidR="009441E2">
        <w:rPr>
          <w:rFonts w:ascii="Times New Roman" w:hAnsi="Times New Roman" w:cs="Times New Roman"/>
          <w:sz w:val="24"/>
          <w:szCs w:val="24"/>
          <w:lang w:val="uk-UA"/>
        </w:rPr>
        <w:t xml:space="preserve">згідно з оцінкою відповідності показників діяльності підприємства критеріям визначення одержувача бюджетних коштів (додаток 1) </w:t>
      </w:r>
      <w:r w:rsidR="00740D3B">
        <w:rPr>
          <w:rFonts w:ascii="Times New Roman" w:hAnsi="Times New Roman" w:cs="Times New Roman"/>
          <w:sz w:val="24"/>
          <w:szCs w:val="24"/>
          <w:lang w:val="uk-UA"/>
        </w:rPr>
        <w:t>за заходами</w:t>
      </w:r>
      <w:r w:rsidR="00247B3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47B3A" w:rsidRPr="009441E2" w:rsidRDefault="00247B3A" w:rsidP="00740D3B">
      <w:pPr>
        <w:pStyle w:val="af"/>
        <w:numPr>
          <w:ilvl w:val="0"/>
          <w:numId w:val="8"/>
        </w:numPr>
        <w:spacing w:after="15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t>прибирання сміття з урн</w:t>
      </w:r>
      <w:r w:rsidR="00740D3B">
        <w:rPr>
          <w:rFonts w:ascii="Times New Roman" w:hAnsi="Times New Roman" w:cs="Times New Roman"/>
          <w:sz w:val="24"/>
          <w:szCs w:val="24"/>
          <w:lang w:val="uk-UA"/>
        </w:rPr>
        <w:t xml:space="preserve"> та збирання окремих предметів у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Міському парку культури і відпочинку ім. Т.Г. Шевченка </w:t>
      </w:r>
      <w:r w:rsidR="009441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>суму 2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20 000,00</w:t>
      </w:r>
      <w:r w:rsidR="009441E2">
        <w:rPr>
          <w:rFonts w:ascii="Times New Roman" w:hAnsi="Times New Roman" w:cs="Times New Roman"/>
          <w:sz w:val="24"/>
          <w:szCs w:val="24"/>
          <w:lang w:val="uk-UA"/>
        </w:rPr>
        <w:t xml:space="preserve"> грн (</w:t>
      </w:r>
      <w:r w:rsidR="00217535"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двісті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двадцять</w:t>
      </w:r>
      <w:r w:rsidR="00217535"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тисяч 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>0 копійок);</w:t>
      </w:r>
    </w:p>
    <w:p w:rsidR="00247B3A" w:rsidRPr="009441E2" w:rsidRDefault="00247B3A" w:rsidP="00740D3B">
      <w:pPr>
        <w:pStyle w:val="af"/>
        <w:numPr>
          <w:ilvl w:val="0"/>
          <w:numId w:val="8"/>
        </w:numPr>
        <w:spacing w:after="15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t>підмітання території в Міському парку культури і відпочинку ім. Т.Г. Шевченка – на суму  2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72 492,00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грн (двісті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сімдесят дві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чотириста дев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’яносто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дві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копійок);</w:t>
      </w:r>
    </w:p>
    <w:p w:rsidR="00BE45F2" w:rsidRPr="009441E2" w:rsidRDefault="00BE45F2" w:rsidP="00740D3B">
      <w:pPr>
        <w:pStyle w:val="af"/>
        <w:numPr>
          <w:ilvl w:val="0"/>
          <w:numId w:val="8"/>
        </w:numPr>
        <w:spacing w:after="15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t>очищення території від снігу та сколювання льоду в Міському парку культури і відпочинку ім. Т.Г. Шевченка – на суму 7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9 000,00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грн (сімдесят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дев’ять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тисяч грив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копійок);</w:t>
      </w:r>
    </w:p>
    <w:p w:rsidR="00BE45F2" w:rsidRPr="009441E2" w:rsidRDefault="00BE45F2" w:rsidP="00740D3B">
      <w:pPr>
        <w:pStyle w:val="af"/>
        <w:numPr>
          <w:ilvl w:val="0"/>
          <w:numId w:val="8"/>
        </w:numPr>
        <w:spacing w:after="15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t>покіс трави в Міському парку культури і відпочинку</w:t>
      </w:r>
      <w:r w:rsidR="004D46D4"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ім. Т.Г. Шевченк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а – на суму 284 500,00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грн (двісті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вісімдесят чотири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і п’ятсот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копійок);</w:t>
      </w:r>
    </w:p>
    <w:p w:rsidR="004B1F54" w:rsidRPr="009441E2" w:rsidRDefault="004B1F54" w:rsidP="00740D3B">
      <w:pPr>
        <w:pStyle w:val="af"/>
        <w:numPr>
          <w:ilvl w:val="0"/>
          <w:numId w:val="8"/>
        </w:numPr>
        <w:spacing w:after="15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t>утримання клумб та оббивка бордюрів в Міському парку культури і відпочинку ім. Т.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Г. Шевченка – на суму 66 400,00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 xml:space="preserve"> (шістдесят шість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тисяч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чотириста гривень 0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>0 копійок);</w:t>
      </w:r>
    </w:p>
    <w:p w:rsidR="004B1F54" w:rsidRPr="009441E2" w:rsidRDefault="004B1F54" w:rsidP="00740D3B">
      <w:pPr>
        <w:pStyle w:val="af"/>
        <w:numPr>
          <w:ilvl w:val="0"/>
          <w:numId w:val="8"/>
        </w:numPr>
        <w:spacing w:after="15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підрізка дерев </w:t>
      </w:r>
      <w:r w:rsidR="00740D3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Міському парку культури і відпочинку ім. Т.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Г. Шевченка – на суму 22 400,00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грн (двадцять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дві тисячі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чотириста</w:t>
      </w:r>
      <w:r w:rsidR="00217535" w:rsidRPr="009441E2">
        <w:rPr>
          <w:rFonts w:ascii="Times New Roman" w:hAnsi="Times New Roman" w:cs="Times New Roman"/>
          <w:sz w:val="24"/>
          <w:szCs w:val="24"/>
        </w:rPr>
        <w:t xml:space="preserve"> гривень 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217535" w:rsidRPr="009441E2">
        <w:rPr>
          <w:rFonts w:ascii="Times New Roman" w:hAnsi="Times New Roman" w:cs="Times New Roman"/>
          <w:sz w:val="24"/>
          <w:szCs w:val="24"/>
        </w:rPr>
        <w:t xml:space="preserve"> копійок)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F75030" w:rsidRDefault="000D77E9" w:rsidP="00740D3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r w:rsidR="006E362C" w:rsidRPr="00545FAF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</w:t>
      </w:r>
      <w:r w:rsidR="008A70E2" w:rsidRPr="00545FAF">
        <w:rPr>
          <w:rFonts w:ascii="Times New Roman" w:hAnsi="Times New Roman" w:cs="Times New Roman"/>
          <w:sz w:val="24"/>
          <w:szCs w:val="24"/>
          <w:lang w:val="uk-UA"/>
        </w:rPr>
        <w:t>у 20</w:t>
      </w:r>
      <w:r w:rsidR="008A70E2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8A70E2" w:rsidRPr="00545FAF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="006E362C" w:rsidRPr="00545FAF">
        <w:rPr>
          <w:rFonts w:ascii="Times New Roman" w:hAnsi="Times New Roman" w:cs="Times New Roman"/>
          <w:sz w:val="24"/>
          <w:szCs w:val="24"/>
          <w:lang w:val="uk-UA"/>
        </w:rPr>
        <w:t>коштів на виконання заходів</w:t>
      </w:r>
      <w:r w:rsidR="00545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52D" w:rsidRPr="00F47FA0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6752D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та відпочинку ім. Т.Г. Шевченка на 2020-2023 роки</w:t>
      </w:r>
      <w:r w:rsidR="008A70E2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8A70E2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міської ради від </w:t>
      </w:r>
      <w:r w:rsidR="00431CCF" w:rsidRPr="005A272D">
        <w:rPr>
          <w:rFonts w:ascii="Times New Roman" w:hAnsi="Times New Roman" w:cs="Times New Roman"/>
          <w:sz w:val="24"/>
          <w:szCs w:val="24"/>
          <w:lang w:val="uk-UA"/>
        </w:rPr>
        <w:t>21.11</w:t>
      </w:r>
      <w:r w:rsidR="008A70E2" w:rsidRPr="005A272D">
        <w:rPr>
          <w:rFonts w:ascii="Times New Roman" w:hAnsi="Times New Roman" w:cs="Times New Roman"/>
          <w:sz w:val="24"/>
          <w:szCs w:val="24"/>
          <w:lang w:val="uk-UA"/>
        </w:rPr>
        <w:t>.2019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1E2">
        <w:rPr>
          <w:rFonts w:ascii="Times New Roman" w:hAnsi="Times New Roman" w:cs="Times New Roman"/>
          <w:sz w:val="24"/>
          <w:szCs w:val="24"/>
          <w:lang w:val="uk-UA"/>
        </w:rPr>
        <w:t>(д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одаток 2). </w:t>
      </w:r>
    </w:p>
    <w:p w:rsidR="006E362C" w:rsidRPr="006E362C" w:rsidRDefault="006E362C" w:rsidP="000D77E9">
      <w:pPr>
        <w:rPr>
          <w:rFonts w:ascii="Times New Roman" w:hAnsi="Times New Roman" w:cs="Times New Roman"/>
          <w:b/>
          <w:sz w:val="24"/>
          <w:szCs w:val="24"/>
        </w:rPr>
      </w:pPr>
    </w:p>
    <w:p w:rsidR="000D77E9" w:rsidRPr="00F47FA0" w:rsidRDefault="007101E9" w:rsidP="000D77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42968">
        <w:rPr>
          <w:rFonts w:ascii="Times New Roman" w:hAnsi="Times New Roman" w:cs="Times New Roman"/>
          <w:b/>
          <w:sz w:val="24"/>
          <w:szCs w:val="24"/>
          <w:lang w:val="uk-UA"/>
        </w:rPr>
        <w:t>Олег СТОГНІЙ</w:t>
      </w:r>
    </w:p>
    <w:p w:rsidR="007101E9" w:rsidRPr="00F47FA0" w:rsidRDefault="007101E9" w:rsidP="000D77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CF680D" w:rsidRDefault="00CF680D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FAF" w:rsidRDefault="00545FAF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FAF" w:rsidRDefault="00545FAF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4F4071" w:rsidRDefault="007101E9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4F4071" w:rsidRPr="004F4071" w:rsidRDefault="004F4071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C05343" w:rsidRPr="00542AE2" w:rsidRDefault="00545FAF" w:rsidP="00545FAF">
      <w:pPr>
        <w:spacing w:after="0"/>
        <w:ind w:left="5670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16.02</w:t>
      </w:r>
      <w:r w:rsidR="00B56388">
        <w:rPr>
          <w:rFonts w:ascii="Times New Roman" w:hAnsi="Times New Roman" w:cs="Times New Roman"/>
          <w:b/>
          <w:sz w:val="24"/>
          <w:szCs w:val="24"/>
          <w:lang w:val="uk-UA"/>
        </w:rPr>
        <w:t>.2022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 w:rsidR="00155550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</w:p>
    <w:p w:rsidR="004F4071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ОЦІНКА</w:t>
      </w:r>
    </w:p>
    <w:p w:rsidR="00CF680D" w:rsidRPr="008A70E2" w:rsidRDefault="000D77E9" w:rsidP="008E042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A70E2">
        <w:rPr>
          <w:rFonts w:ascii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</w:t>
      </w:r>
      <w:r w:rsidR="004103DC" w:rsidRPr="008A70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70E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800BB7" w:rsidRPr="008A70E2">
        <w:rPr>
          <w:rFonts w:ascii="Times New Roman" w:hAnsi="Times New Roman" w:cs="Times New Roman"/>
          <w:b/>
          <w:sz w:val="24"/>
          <w:szCs w:val="24"/>
          <w:lang w:val="uk-UA"/>
        </w:rPr>
        <w:t>Ільїнський ярмарок</w:t>
      </w:r>
      <w:r w:rsidRPr="008A70E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7101E9" w:rsidRPr="008A70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ради</w:t>
      </w:r>
      <w:r w:rsidR="005A272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4103DC" w:rsidRPr="008A70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70E2">
        <w:rPr>
          <w:rFonts w:ascii="Times New Roman" w:hAnsi="Times New Roman" w:cs="Times New Roman"/>
          <w:b/>
          <w:sz w:val="24"/>
          <w:szCs w:val="24"/>
          <w:lang w:val="uk-UA"/>
        </w:rPr>
        <w:t>критеріям визначення одержувача бюджетних коштів</w:t>
      </w:r>
      <w:r w:rsidR="00740D3B" w:rsidRPr="008A70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F4071" w:rsidRPr="00542AE2" w:rsidRDefault="004F4071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1325"/>
      </w:tblGrid>
      <w:tr w:rsidR="00C05343" w:rsidRPr="004C7BDA" w:rsidTr="00CF680D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05343" w:rsidRPr="004C7BDA" w:rsidRDefault="00F23216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F407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05343" w:rsidRPr="004C7BDA" w:rsidTr="00CF680D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05343" w:rsidRPr="00B42968" w:rsidTr="004103DC">
        <w:trPr>
          <w:trHeight w:val="10096"/>
        </w:trPr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 роботи  за</w:t>
            </w:r>
            <w:r w:rsidR="00410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відповідним  профілем</w:t>
            </w:r>
            <w:r w:rsidR="00410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двох років та</w:t>
            </w:r>
            <w:r w:rsidR="00410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343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відповідної</w:t>
            </w:r>
            <w:r w:rsidR="00410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кваліфікації </w:t>
            </w:r>
          </w:p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F680D" w:rsidRDefault="004103DC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</w:t>
            </w:r>
            <w:r w:rsidR="00F50E91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реорганізаці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F50E91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</w:t>
            </w:r>
            <w:r w:rsidR="00CF6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льного підприємства «М</w:t>
            </w:r>
            <w:r w:rsidR="00F50E91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</w:t>
            </w:r>
            <w:r w:rsidR="00CF6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 w:rsidR="00F50E91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</w:t>
            </w:r>
            <w:r w:rsidR="00375C25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та відпочинку</w:t>
            </w:r>
            <w:r w:rsidR="00266C06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ім. Т.Г. Шевченка</w:t>
            </w:r>
            <w:r w:rsidR="00CF6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66C06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приєднання</w:t>
            </w:r>
            <w:r w:rsidR="0026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CF6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комунального підприємства </w:t>
            </w:r>
            <w:r w:rsidR="0026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«Ільїнський ярмарок»</w:t>
            </w:r>
            <w:r w:rsidR="00CF6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0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  <w:r w:rsidR="00903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40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дане</w:t>
            </w:r>
            <w:r w:rsidR="00CF6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 виконує</w:t>
            </w:r>
            <w:r w:rsidR="0026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прибирання території парку за рахунок власних коштів, маючи </w:t>
            </w:r>
            <w:r w:rsidR="00CF6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6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штаті двірників.</w:t>
            </w:r>
          </w:p>
          <w:p w:rsidR="00115EDE" w:rsidRDefault="00B42968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</w:t>
            </w:r>
            <w:r w:rsidR="00410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20-2021 рр.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надавали</w:t>
            </w:r>
            <w:r w:rsidR="00217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 кошти з міського бюджету для:</w:t>
            </w:r>
          </w:p>
          <w:p w:rsidR="00B42968" w:rsidRDefault="00740D3B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2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підмітання території міського парку культури та відпочинку ім. Т.Г. Шевченка;</w:t>
            </w:r>
          </w:p>
          <w:p w:rsidR="00B42968" w:rsidRDefault="00740D3B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29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прибирання сміття з урн та збирання окремих предметів у міському парку культури </w:t>
            </w:r>
            <w:r w:rsidR="00A22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відпочинку ім. Т. Г. Шевченка;</w:t>
            </w:r>
          </w:p>
          <w:p w:rsidR="00A2226A" w:rsidRDefault="00740D3B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2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A7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A22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трави у міському парку культури та відпочинку ім. Т.Г. Шевченка;</w:t>
            </w:r>
          </w:p>
          <w:p w:rsidR="00A2226A" w:rsidRDefault="00B56388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2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клумб та оббивк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A22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бордюрів у міському парку культури та відпочинку ім. Т.Г. Шевченка;</w:t>
            </w:r>
          </w:p>
          <w:p w:rsidR="00A2226A" w:rsidRDefault="00B56388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2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очищення території від снігу та сколювання льоду у міському парку культури </w:t>
            </w:r>
            <w:r w:rsidR="00410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відпочинку ім. Т.Г. Шевченка;</w:t>
            </w:r>
          </w:p>
          <w:p w:rsidR="009441E2" w:rsidRPr="004C7BDA" w:rsidRDefault="00B56388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0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підрізку</w:t>
            </w:r>
            <w:r w:rsidR="004103DC" w:rsidRPr="00410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дерев  в Міському парку культури і відпочинку ім. Т.Г. Шевченка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56388" w:rsidRDefault="00B56388" w:rsidP="009441E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41E2" w:rsidRDefault="00B56388" w:rsidP="00B56388">
      <w:pPr>
        <w:jc w:val="right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9441E2" w:rsidRPr="004C7B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819"/>
        <w:gridCol w:w="9"/>
        <w:gridCol w:w="3960"/>
        <w:gridCol w:w="1417"/>
      </w:tblGrid>
      <w:tr w:rsidR="009441E2" w:rsidRPr="00B42968" w:rsidTr="00B56388">
        <w:tc>
          <w:tcPr>
            <w:tcW w:w="567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gridSpan w:val="2"/>
          </w:tcPr>
          <w:p w:rsidR="009441E2" w:rsidRPr="004C7BDA" w:rsidRDefault="009441E2" w:rsidP="00944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gridSpan w:val="2"/>
          </w:tcPr>
          <w:p w:rsidR="009441E2" w:rsidRPr="004C7BDA" w:rsidRDefault="009441E2" w:rsidP="00944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9441E2" w:rsidRPr="004C7BDA" w:rsidRDefault="009441E2" w:rsidP="00944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56388" w:rsidRPr="004103DC" w:rsidTr="00B56388">
        <w:trPr>
          <w:trHeight w:val="840"/>
        </w:trPr>
        <w:tc>
          <w:tcPr>
            <w:tcW w:w="567" w:type="dxa"/>
          </w:tcPr>
          <w:p w:rsidR="00B56388" w:rsidRPr="004C7BDA" w:rsidRDefault="00B56388" w:rsidP="008E5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  <w:gridSpan w:val="2"/>
          </w:tcPr>
          <w:p w:rsidR="00B56388" w:rsidRPr="004C7BDA" w:rsidRDefault="00B56388" w:rsidP="008E52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 відповідні  показники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виробничої діяльності</w:t>
            </w:r>
          </w:p>
          <w:p w:rsidR="00B56388" w:rsidRPr="004C7BDA" w:rsidRDefault="00B56388" w:rsidP="008E5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B56388" w:rsidRDefault="00B56388" w:rsidP="008E52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Штатна чисельність підприємства складає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осіб, з яких 8 двірників.</w:t>
            </w:r>
          </w:p>
          <w:p w:rsidR="00B56388" w:rsidRDefault="00B56388" w:rsidP="008E5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 підприємстві наявні матеріально-технічні цінності, необхідні для забезпечення прибирання території парку від сміття та очищення снігу, покосу трави, обрізки дерев</w:t>
            </w:r>
          </w:p>
        </w:tc>
        <w:tc>
          <w:tcPr>
            <w:tcW w:w="1417" w:type="dxa"/>
          </w:tcPr>
          <w:p w:rsidR="00B56388" w:rsidRPr="004C7BDA" w:rsidRDefault="00B56388" w:rsidP="008E5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441E2" w:rsidRPr="004C7BDA" w:rsidTr="00B56388">
        <w:tc>
          <w:tcPr>
            <w:tcW w:w="567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  <w:gridSpan w:val="2"/>
          </w:tcPr>
          <w:p w:rsidR="009441E2" w:rsidRPr="004C7BDA" w:rsidRDefault="0073411F" w:rsidP="007341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3411F">
              <w:rPr>
                <w:rFonts w:ascii="Times New Roman" w:hAnsi="Times New Roman" w:cs="Times New Roman"/>
                <w:sz w:val="24"/>
                <w:szCs w:val="24"/>
              </w:rPr>
              <w:t xml:space="preserve">аявність бездефіцитного фінансового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73411F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фінансово-економічного розрахунку (обґрунтування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на </w:t>
            </w:r>
            <w:r w:rsidR="009441E2" w:rsidRPr="004C7B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441E2"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доході</w:t>
            </w:r>
            <w:r w:rsidR="0073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та витрат підприємства на 2022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441E2" w:rsidRPr="004C7BDA" w:rsidTr="00B56388">
        <w:tc>
          <w:tcPr>
            <w:tcW w:w="567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8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 w:rsidR="0073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за останні</w:t>
            </w:r>
            <w:r w:rsidR="0073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="0073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фінансовий результат діяльності підприємства</w:t>
            </w:r>
            <w:r w:rsidR="0073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9441E2" w:rsidRPr="004C7BDA" w:rsidRDefault="0073411F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9441E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441E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–</w:t>
            </w:r>
            <w:r w:rsidR="00944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22,3</w:t>
            </w:r>
            <w:r w:rsidR="009441E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441E2" w:rsidRDefault="0073411F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2021 рік</w:t>
            </w:r>
            <w:r w:rsidR="00944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11,4</w:t>
            </w:r>
            <w:r w:rsidR="009441E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</w:t>
            </w:r>
            <w:r w:rsidR="00944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9441E2" w:rsidRPr="00793A0C" w:rsidRDefault="009441E2" w:rsidP="00B56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3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 про фінансові результати діяльності підприємства за 20</w:t>
            </w:r>
            <w:r w:rsidR="0073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793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20</w:t>
            </w:r>
            <w:r w:rsidR="0073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793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417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B56388">
        <w:tc>
          <w:tcPr>
            <w:tcW w:w="576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gridSpan w:val="2"/>
          </w:tcPr>
          <w:p w:rsidR="00D25EDC" w:rsidRPr="004C7BDA" w:rsidRDefault="0073411F" w:rsidP="0073411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3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простроченої заборгованості за наданими банками кредитами</w:t>
            </w:r>
          </w:p>
        </w:tc>
        <w:tc>
          <w:tcPr>
            <w:tcW w:w="3960" w:type="dxa"/>
          </w:tcPr>
          <w:p w:rsidR="00D25EDC" w:rsidRPr="004C7BDA" w:rsidRDefault="007A3B12" w:rsidP="0073411F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</w:t>
            </w:r>
            <w:r w:rsidR="0073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прос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роченої заборгованості за наданими банками кредитами</w:t>
            </w:r>
          </w:p>
        </w:tc>
        <w:tc>
          <w:tcPr>
            <w:tcW w:w="1417" w:type="dxa"/>
          </w:tcPr>
          <w:p w:rsidR="00D25EDC" w:rsidRPr="004C7BDA" w:rsidRDefault="00D25EDC" w:rsidP="00CF680D">
            <w:pPr>
              <w:spacing w:line="276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B56388">
        <w:tc>
          <w:tcPr>
            <w:tcW w:w="576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gridSpan w:val="2"/>
          </w:tcPr>
          <w:p w:rsidR="00D25EDC" w:rsidRPr="004C7BDA" w:rsidRDefault="0073411F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3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піввідношення вартості робіт, послуг та їх якості</w:t>
            </w:r>
          </w:p>
        </w:tc>
        <w:tc>
          <w:tcPr>
            <w:tcW w:w="3960" w:type="dxa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417" w:type="dxa"/>
          </w:tcPr>
          <w:p w:rsidR="00D25EDC" w:rsidRPr="004C7BDA" w:rsidRDefault="00D25EDC" w:rsidP="00CF680D">
            <w:pPr>
              <w:spacing w:line="276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C7527" w:rsidRPr="004C7BDA" w:rsidTr="00B56388">
        <w:tc>
          <w:tcPr>
            <w:tcW w:w="576" w:type="dxa"/>
            <w:gridSpan w:val="2"/>
          </w:tcPr>
          <w:p w:rsidR="003C7527" w:rsidRPr="00A801E9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8" w:type="dxa"/>
            <w:gridSpan w:val="2"/>
          </w:tcPr>
          <w:p w:rsidR="003C7527" w:rsidRPr="00A801E9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E9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r w:rsidR="00783893" w:rsidRPr="00A80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01E9">
              <w:rPr>
                <w:rFonts w:ascii="Times New Roman" w:hAnsi="Times New Roman" w:cs="Times New Roman"/>
                <w:sz w:val="24"/>
                <w:szCs w:val="24"/>
              </w:rPr>
              <w:t>договірних умов</w:t>
            </w:r>
            <w:r w:rsidRPr="00A80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960" w:type="dxa"/>
          </w:tcPr>
          <w:p w:rsidR="003C7527" w:rsidRPr="00A801E9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7527" w:rsidRPr="00A801E9" w:rsidRDefault="003C7527" w:rsidP="00CF680D">
            <w:pPr>
              <w:spacing w:line="276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750A7" w:rsidRPr="004C7BDA" w:rsidTr="00B56388">
        <w:trPr>
          <w:trHeight w:val="2491"/>
        </w:trPr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A750A7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A750A7" w:rsidRPr="004C7BDA" w:rsidRDefault="00454007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сміття з урн та збирання окремих предметів в Міському парку культури і відпочинку ім. Т.Г.</w:t>
            </w:r>
            <w:r w:rsidR="00DB75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750A7" w:rsidRPr="0019322E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 </w:t>
            </w:r>
            <w:r w:rsidR="0071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219 991,44</w:t>
            </w:r>
            <w:r w:rsidR="00454007"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:rsidR="00A750A7" w:rsidRPr="0019322E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A750A7" w:rsidRPr="0019322E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750A7"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ведений кошторисний розрахунок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750A7" w:rsidRPr="0019322E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750A7"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оговірна ціна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750A7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A750A7"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окальний кошторис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A6348" w:rsidRPr="0019322E" w:rsidRDefault="00B5638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A750A7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50A7"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ідсумкова відомість ресурсів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9322E" w:rsidRPr="0019322E" w:rsidRDefault="008A6348" w:rsidP="00B56388">
            <w:pPr>
              <w:pStyle w:val="a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10EFB"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ефектний акт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50A7" w:rsidRPr="004C7BDA" w:rsidRDefault="00A750A7" w:rsidP="00CF680D">
            <w:pPr>
              <w:spacing w:line="276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01E9" w:rsidRPr="004C7BDA" w:rsidTr="00B56388">
        <w:trPr>
          <w:trHeight w:val="1590"/>
        </w:trPr>
        <w:tc>
          <w:tcPr>
            <w:tcW w:w="576" w:type="dxa"/>
            <w:gridSpan w:val="2"/>
            <w:tcBorders>
              <w:top w:val="single" w:sz="4" w:space="0" w:color="auto"/>
            </w:tcBorders>
          </w:tcPr>
          <w:p w:rsidR="00A801E9" w:rsidRPr="004C7BDA" w:rsidRDefault="00A801E9" w:rsidP="005B20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A801E9" w:rsidRPr="004C7BDA" w:rsidRDefault="00A801E9" w:rsidP="005B20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Підмітання території в Міському парку культури і відпочинку ім. Т. Г. Шевченка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A801E9" w:rsidRPr="0019322E" w:rsidRDefault="00A801E9" w:rsidP="00A801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272 491,94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:rsidR="008A6348" w:rsidRPr="0019322E" w:rsidRDefault="008A6348" w:rsidP="008A63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8A6348" w:rsidRPr="0019322E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ведений кошторисний розрахунок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A6348" w:rsidRPr="0019322E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оговірна ціна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A6348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окальний кошторис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A6348" w:rsidRPr="0019322E" w:rsidRDefault="00B5638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8A6348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ідсумкова відомість ресурсів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801E9" w:rsidRPr="0019322E" w:rsidRDefault="008A6348" w:rsidP="00B56388">
            <w:pPr>
              <w:pStyle w:val="a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ефектний акт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01E9" w:rsidRPr="004C7BDA" w:rsidRDefault="00A801E9" w:rsidP="00CF680D">
            <w:pPr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9322E" w:rsidRDefault="0019322E" w:rsidP="0019322E">
      <w:pPr>
        <w:jc w:val="right"/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9"/>
        <w:gridCol w:w="3819"/>
        <w:gridCol w:w="9"/>
        <w:gridCol w:w="3960"/>
        <w:gridCol w:w="1325"/>
      </w:tblGrid>
      <w:tr w:rsidR="0019322E" w:rsidRPr="004C7BDA" w:rsidTr="00E166BE">
        <w:tc>
          <w:tcPr>
            <w:tcW w:w="585" w:type="dxa"/>
            <w:gridSpan w:val="2"/>
          </w:tcPr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gridSpan w:val="2"/>
          </w:tcPr>
          <w:p w:rsidR="0019322E" w:rsidRPr="004C7BDA" w:rsidRDefault="0019322E" w:rsidP="00193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</w:tcPr>
          <w:p w:rsidR="0019322E" w:rsidRPr="004C7BDA" w:rsidRDefault="0019322E" w:rsidP="00193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19322E" w:rsidRPr="004C7BDA" w:rsidRDefault="0019322E" w:rsidP="00193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441E2" w:rsidRPr="004C7BDA" w:rsidTr="00E166BE">
        <w:tc>
          <w:tcPr>
            <w:tcW w:w="585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828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Очищення території від снігу та сколювання льоду в Міському парку культури і відпочинку ім. Т.Г. Шевченка</w:t>
            </w:r>
          </w:p>
        </w:tc>
        <w:tc>
          <w:tcPr>
            <w:tcW w:w="3960" w:type="dxa"/>
          </w:tcPr>
          <w:p w:rsidR="009441E2" w:rsidRPr="004C7BDA" w:rsidRDefault="00710EFB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78 993,60</w:t>
            </w:r>
            <w:r w:rsidR="00944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8A6348" w:rsidRPr="0019322E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ведений кошторисний розрахунок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A6348" w:rsidRPr="0019322E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оговірна ціна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A6348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окальний кошторис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A6348" w:rsidRPr="0019322E" w:rsidRDefault="00B5638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8A6348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ідсумкова відомість ресурсів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441E2" w:rsidRPr="004C7BDA" w:rsidRDefault="008A634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ефектний акт</w:t>
            </w:r>
          </w:p>
        </w:tc>
        <w:tc>
          <w:tcPr>
            <w:tcW w:w="1275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41E2" w:rsidRPr="004C7BDA" w:rsidTr="00E166BE">
        <w:tc>
          <w:tcPr>
            <w:tcW w:w="576" w:type="dxa"/>
          </w:tcPr>
          <w:p w:rsidR="009441E2" w:rsidRPr="004C7BDA" w:rsidRDefault="00E166BE" w:rsidP="00944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3828" w:type="dxa"/>
            <w:gridSpan w:val="2"/>
          </w:tcPr>
          <w:p w:rsidR="009441E2" w:rsidRPr="004C7BDA" w:rsidRDefault="009441E2" w:rsidP="009441E2">
            <w:pPr>
              <w:pStyle w:val="ae"/>
              <w:spacing w:before="0" w:after="0" w:line="276" w:lineRule="auto"/>
              <w:ind w:right="96"/>
              <w:jc w:val="both"/>
              <w:rPr>
                <w:color w:val="00B050"/>
                <w:lang w:val="uk-UA"/>
              </w:rPr>
            </w:pPr>
            <w:r>
              <w:rPr>
                <w:lang w:val="uk-UA"/>
              </w:rPr>
              <w:t>Покіс трави в Міському парку культури і відпочинку ім. Т.Г. Шевченка</w:t>
            </w:r>
          </w:p>
        </w:tc>
        <w:tc>
          <w:tcPr>
            <w:tcW w:w="3969" w:type="dxa"/>
            <w:gridSpan w:val="2"/>
          </w:tcPr>
          <w:p w:rsidR="009441E2" w:rsidRDefault="00710EFB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284 458,32</w:t>
            </w:r>
            <w:r w:rsidR="00944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E166BE" w:rsidRPr="0019322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ведений кошторисний розрахунок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66BE" w:rsidRPr="0019322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оговірна ціна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66B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окальний кошторис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66BE" w:rsidRPr="0019322E" w:rsidRDefault="00B5638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E166B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ідсумкова відомість ресурсів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441E2" w:rsidRPr="004C7BDA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ефектний акт</w:t>
            </w:r>
          </w:p>
        </w:tc>
        <w:tc>
          <w:tcPr>
            <w:tcW w:w="1275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B56388">
        <w:trPr>
          <w:trHeight w:val="2412"/>
        </w:trPr>
        <w:tc>
          <w:tcPr>
            <w:tcW w:w="576" w:type="dxa"/>
            <w:tcBorders>
              <w:bottom w:val="single" w:sz="4" w:space="0" w:color="auto"/>
            </w:tcBorders>
          </w:tcPr>
          <w:p w:rsidR="00FB4504" w:rsidRPr="004C7BDA" w:rsidRDefault="00E166BE" w:rsidP="00944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FB4504" w:rsidRPr="00EF458E" w:rsidRDefault="000D76A7" w:rsidP="009441E2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клумб та оббивка бордюрів в Міському парку культури і відпочинку ім. Т.Г. Шевченка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B4504" w:rsidRPr="004C7BDA" w:rsidRDefault="00F01665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71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66 367,81</w:t>
            </w:r>
            <w:r w:rsidR="000D7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:rsidR="00FB4504" w:rsidRPr="004C7BDA" w:rsidRDefault="00FB4504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E166BE" w:rsidRPr="0019322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ведений кошторисний розрахунок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66BE" w:rsidRPr="0019322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оговірна ціна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66B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окальний кошторис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66BE" w:rsidRPr="0019322E" w:rsidRDefault="00B5638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E166B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ідсумкова відомість ресурсів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9322E" w:rsidRPr="0019322E" w:rsidRDefault="00E166BE" w:rsidP="00B56388">
            <w:pPr>
              <w:pStyle w:val="a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ефектний акт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4504" w:rsidRPr="004C7BDA" w:rsidRDefault="00FB4504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66BE" w:rsidRPr="004C7BDA" w:rsidTr="00B56388">
        <w:trPr>
          <w:trHeight w:val="230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E166BE" w:rsidRDefault="00E166BE" w:rsidP="009441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6BE" w:rsidRDefault="00E166BE" w:rsidP="009441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Підрізка дерев в Міському парку культури і відпочинку ім. Т.Г. Шевченка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6BE" w:rsidRDefault="00E166BE" w:rsidP="00E166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22 362,48 грн.</w:t>
            </w:r>
          </w:p>
          <w:p w:rsidR="00E166BE" w:rsidRPr="004C7BDA" w:rsidRDefault="00E166BE" w:rsidP="00E166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E166BE" w:rsidRPr="0019322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ведений кошторисний розрахунок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66BE" w:rsidRPr="0019322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оговірна ціна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66B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окальний кошторис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66BE" w:rsidRPr="0019322E" w:rsidRDefault="00B56388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E166BE" w:rsidRDefault="00E166BE" w:rsidP="00B56388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ідсумкова відомість ресурсів</w:t>
            </w:r>
            <w:r w:rsidR="00B5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66BE" w:rsidRDefault="00E166BE" w:rsidP="00B56388">
            <w:pPr>
              <w:pStyle w:val="af"/>
              <w:tabs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ефектний акт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166BE" w:rsidRPr="004C7BDA" w:rsidRDefault="00E166BE" w:rsidP="009441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66BE" w:rsidRPr="004C7BDA" w:rsidTr="00E166BE">
        <w:trPr>
          <w:trHeight w:val="1345"/>
        </w:trPr>
        <w:tc>
          <w:tcPr>
            <w:tcW w:w="576" w:type="dxa"/>
            <w:tcBorders>
              <w:top w:val="single" w:sz="4" w:space="0" w:color="auto"/>
            </w:tcBorders>
          </w:tcPr>
          <w:p w:rsidR="00E166BE" w:rsidRPr="004C7BDA" w:rsidRDefault="00E166BE" w:rsidP="00A7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E166BE" w:rsidRPr="004C7BDA" w:rsidRDefault="00E166BE" w:rsidP="00A7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  установленому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порядку  банкрутом,  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порушено  справу 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банкрутство  і  він  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перебуває  в  стадії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E166BE" w:rsidRPr="004C7BDA" w:rsidRDefault="00E166BE" w:rsidP="00A7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справі про банкрутство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66BE" w:rsidRPr="004C7BDA" w:rsidRDefault="00E166BE" w:rsidP="00A718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200456" w:rsidRDefault="00200456" w:rsidP="009441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6388" w:rsidRPr="004C7BDA" w:rsidRDefault="00B56388" w:rsidP="009441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613B" w:rsidRPr="004C7BDA" w:rsidRDefault="008E0424" w:rsidP="009441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</w:t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D76A7"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6388" w:rsidRDefault="00B5638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4F4071" w:rsidRPr="004C7BDA" w:rsidRDefault="00E166BE" w:rsidP="00E166BE">
      <w:pPr>
        <w:spacing w:after="0"/>
        <w:ind w:left="567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</w:t>
      </w:r>
      <w:r w:rsidR="004F4071" w:rsidRPr="004C7BDA">
        <w:rPr>
          <w:rFonts w:ascii="Times New Roman" w:hAnsi="Times New Roman" w:cs="Times New Roman"/>
          <w:b/>
          <w:sz w:val="24"/>
          <w:szCs w:val="24"/>
        </w:rPr>
        <w:t xml:space="preserve">аток </w:t>
      </w:r>
      <w:r w:rsidR="004F4071" w:rsidRPr="004C7BD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4F4071" w:rsidRPr="004C7BDA" w:rsidRDefault="004F4071" w:rsidP="00E166BE">
      <w:pPr>
        <w:tabs>
          <w:tab w:val="left" w:pos="5954"/>
        </w:tabs>
        <w:spacing w:after="0"/>
        <w:ind w:left="567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4F4071" w:rsidRPr="004C7BDA" w:rsidRDefault="00A801E9" w:rsidP="00E166BE">
      <w:pPr>
        <w:spacing w:after="0"/>
        <w:ind w:left="567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16.02</w:t>
      </w:r>
      <w:r w:rsidR="00B56388">
        <w:rPr>
          <w:rFonts w:ascii="Times New Roman" w:hAnsi="Times New Roman" w:cs="Times New Roman"/>
          <w:b/>
          <w:sz w:val="24"/>
          <w:szCs w:val="24"/>
          <w:lang w:val="uk-UA"/>
        </w:rPr>
        <w:t>.2022</w:t>
      </w:r>
      <w:r w:rsidR="004F4071"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</w:t>
      </w:r>
      <w:r w:rsidR="00B563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55550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bookmarkStart w:id="0" w:name="_GoBack"/>
      <w:bookmarkEnd w:id="0"/>
    </w:p>
    <w:p w:rsidR="004F4071" w:rsidRPr="004C7BDA" w:rsidRDefault="004F4071" w:rsidP="00E166B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E9" w:rsidRPr="0036752D" w:rsidRDefault="000D77E9" w:rsidP="00E166B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2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6752D" w:rsidRPr="008A70E2" w:rsidRDefault="0036752D" w:rsidP="00204B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52D">
        <w:rPr>
          <w:rFonts w:ascii="Times New Roman" w:hAnsi="Times New Roman" w:cs="Times New Roman"/>
          <w:b/>
          <w:sz w:val="24"/>
          <w:szCs w:val="24"/>
        </w:rPr>
        <w:t xml:space="preserve">використання </w:t>
      </w:r>
      <w:r w:rsidR="008A70E2" w:rsidRPr="0036752D">
        <w:rPr>
          <w:rFonts w:ascii="Times New Roman" w:hAnsi="Times New Roman" w:cs="Times New Roman"/>
          <w:b/>
          <w:sz w:val="24"/>
          <w:szCs w:val="24"/>
        </w:rPr>
        <w:t>у 20</w:t>
      </w:r>
      <w:r w:rsidR="008A70E2" w:rsidRPr="0036752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A70E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A70E2" w:rsidRPr="0036752D">
        <w:rPr>
          <w:rFonts w:ascii="Times New Roman" w:hAnsi="Times New Roman" w:cs="Times New Roman"/>
          <w:b/>
          <w:sz w:val="24"/>
          <w:szCs w:val="24"/>
        </w:rPr>
        <w:t xml:space="preserve"> році </w:t>
      </w:r>
      <w:r w:rsidRPr="0036752D">
        <w:rPr>
          <w:rFonts w:ascii="Times New Roman" w:hAnsi="Times New Roman" w:cs="Times New Roman"/>
          <w:b/>
          <w:sz w:val="24"/>
          <w:szCs w:val="24"/>
        </w:rPr>
        <w:t>коштів на виконання заходів</w:t>
      </w:r>
      <w:r w:rsidRPr="003675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 розвитку Міського парку культури та відпочинку ім. Т.Г. Шевченка на 2020-2023 роки</w:t>
      </w:r>
      <w:r w:rsidR="008A70E2" w:rsidRPr="008A70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затвердженої рішенням міської ради від </w:t>
      </w:r>
      <w:r w:rsidR="00431CCF" w:rsidRPr="00DB75B9">
        <w:rPr>
          <w:rFonts w:ascii="Times New Roman" w:hAnsi="Times New Roman" w:cs="Times New Roman"/>
          <w:b/>
          <w:sz w:val="24"/>
          <w:szCs w:val="24"/>
          <w:lang w:val="uk-UA"/>
        </w:rPr>
        <w:t>21.11</w:t>
      </w:r>
      <w:r w:rsidR="008A70E2" w:rsidRPr="00DB75B9">
        <w:rPr>
          <w:rFonts w:ascii="Times New Roman" w:hAnsi="Times New Roman" w:cs="Times New Roman"/>
          <w:b/>
          <w:sz w:val="24"/>
          <w:szCs w:val="24"/>
          <w:lang w:val="uk-UA"/>
        </w:rPr>
        <w:t>.2019</w:t>
      </w:r>
    </w:p>
    <w:p w:rsidR="00DD7638" w:rsidRPr="004C7BDA" w:rsidRDefault="000D77E9" w:rsidP="00204B3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питання</w:t>
      </w:r>
    </w:p>
    <w:p w:rsidR="000D77E9" w:rsidRPr="00542AE2" w:rsidRDefault="00204B3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Порядок викорис</w:t>
      </w:r>
      <w:r w:rsidR="000D76A7">
        <w:rPr>
          <w:rFonts w:ascii="Times New Roman" w:hAnsi="Times New Roman" w:cs="Times New Roman"/>
          <w:sz w:val="24"/>
          <w:szCs w:val="24"/>
          <w:lang w:val="uk-UA"/>
        </w:rPr>
        <w:t xml:space="preserve">тання </w:t>
      </w:r>
      <w:r w:rsidR="008A70E2">
        <w:rPr>
          <w:rFonts w:ascii="Times New Roman" w:hAnsi="Times New Roman" w:cs="Times New Roman"/>
          <w:sz w:val="24"/>
          <w:szCs w:val="24"/>
          <w:lang w:val="uk-UA"/>
        </w:rPr>
        <w:t>у 2022</w:t>
      </w:r>
      <w:r w:rsidR="008A70E2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="000D76A7">
        <w:rPr>
          <w:rFonts w:ascii="Times New Roman" w:hAnsi="Times New Roman" w:cs="Times New Roman"/>
          <w:sz w:val="24"/>
          <w:szCs w:val="24"/>
          <w:lang w:val="uk-UA"/>
        </w:rPr>
        <w:t xml:space="preserve">коштів на виконання 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B37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розвитку 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та відпочинку ім. Т.Г. Шевченка на 2020-2023 роки</w:t>
      </w:r>
      <w:r w:rsidR="008A70E2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8A70E2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міської ради від </w:t>
      </w:r>
      <w:r w:rsidR="00431CCF" w:rsidRPr="00DB75B9">
        <w:rPr>
          <w:rFonts w:ascii="Times New Roman" w:hAnsi="Times New Roman" w:cs="Times New Roman"/>
          <w:sz w:val="24"/>
          <w:szCs w:val="24"/>
          <w:lang w:val="uk-UA"/>
        </w:rPr>
        <w:t>21.11</w:t>
      </w:r>
      <w:r w:rsidR="008A70E2" w:rsidRPr="00DB75B9">
        <w:rPr>
          <w:rFonts w:ascii="Times New Roman" w:hAnsi="Times New Roman" w:cs="Times New Roman"/>
          <w:sz w:val="24"/>
          <w:szCs w:val="24"/>
          <w:lang w:val="uk-UA"/>
        </w:rPr>
        <w:t>.2019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(далі – Порядок)</w:t>
      </w:r>
      <w:r w:rsidR="008A70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>визначає механізм використання коштів,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для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) як головного розпорядника коштів 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бюджету Роменської міської територіальної громади 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>на 2</w:t>
      </w:r>
      <w:r w:rsidR="000D76A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8A70E2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загальн</w:t>
      </w:r>
      <w:r w:rsidR="008A70E2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фонд</w:t>
      </w:r>
      <w:r w:rsidR="008A70E2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B37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розвитку 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та відпочинку ім. Т.Г. Шевченка на 2020-2023 роки</w:t>
      </w:r>
      <w:r w:rsidR="008A70E2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8A70E2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міської ради від </w:t>
      </w:r>
      <w:r w:rsidR="00431CCF" w:rsidRPr="00DB75B9">
        <w:rPr>
          <w:rFonts w:ascii="Times New Roman" w:hAnsi="Times New Roman" w:cs="Times New Roman"/>
          <w:sz w:val="24"/>
          <w:szCs w:val="24"/>
          <w:lang w:val="uk-UA"/>
        </w:rPr>
        <w:t>21.11</w:t>
      </w:r>
      <w:r w:rsidR="008A70E2" w:rsidRPr="00DB75B9">
        <w:rPr>
          <w:rFonts w:ascii="Times New Roman" w:hAnsi="Times New Roman" w:cs="Times New Roman"/>
          <w:sz w:val="24"/>
          <w:szCs w:val="24"/>
          <w:lang w:val="uk-UA"/>
        </w:rPr>
        <w:t>.2019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Заходи).</w:t>
      </w:r>
    </w:p>
    <w:p w:rsidR="000D77E9" w:rsidRPr="004C7BD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2.  Одержувачем бюджетних коштів для виконання Заходів є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Ільїнський ярмарок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</w:t>
      </w:r>
      <w:r w:rsidR="00DB75B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(далі – Одержувач). </w:t>
      </w:r>
    </w:p>
    <w:p w:rsidR="00DD7638" w:rsidRPr="004C7BDA" w:rsidRDefault="000D77E9" w:rsidP="00204B3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0D77E9" w:rsidRPr="004C7BDA" w:rsidRDefault="00204B3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D77E9" w:rsidRPr="004C7BDA">
        <w:rPr>
          <w:rFonts w:ascii="Times New Roman" w:hAnsi="Times New Roman" w:cs="Times New Roman"/>
          <w:sz w:val="24"/>
          <w:szCs w:val="24"/>
        </w:rPr>
        <w:t>.  Забезпечення прозорої та ефективної процедури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4C7BDA">
        <w:rPr>
          <w:rFonts w:ascii="Times New Roman" w:hAnsi="Times New Roman" w:cs="Times New Roman"/>
          <w:sz w:val="24"/>
          <w:szCs w:val="24"/>
        </w:rPr>
        <w:t>використання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4C7BDA">
        <w:rPr>
          <w:rFonts w:ascii="Times New Roman" w:hAnsi="Times New Roman" w:cs="Times New Roman"/>
          <w:sz w:val="24"/>
          <w:szCs w:val="24"/>
        </w:rPr>
        <w:t>бюджетних коштів.</w:t>
      </w:r>
    </w:p>
    <w:p w:rsidR="000D77E9" w:rsidRPr="004C7BD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  Сприяння утриманню в належному санітарному 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 xml:space="preserve">стані </w:t>
      </w:r>
      <w:r w:rsidR="008F751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іського парку культури та відпочинку ім. Т.Г. Шевченка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DB75B9" w:rsidRDefault="008830A5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D77E9"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.  Реалізація заходів 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та відпочинку ім. Т.Г. Шевченка на 2020-2023 роки</w:t>
      </w:r>
      <w:r w:rsidR="008A70E2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8A70E2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міської ради від </w:t>
      </w:r>
      <w:r w:rsidR="00431CCF" w:rsidRPr="00DB75B9">
        <w:rPr>
          <w:rFonts w:ascii="Times New Roman" w:hAnsi="Times New Roman" w:cs="Times New Roman"/>
          <w:sz w:val="24"/>
          <w:szCs w:val="24"/>
          <w:lang w:val="uk-UA"/>
        </w:rPr>
        <w:t>21.11</w:t>
      </w:r>
      <w:r w:rsidR="008A70E2" w:rsidRPr="00DB75B9">
        <w:rPr>
          <w:rFonts w:ascii="Times New Roman" w:hAnsi="Times New Roman" w:cs="Times New Roman"/>
          <w:sz w:val="24"/>
          <w:szCs w:val="24"/>
          <w:lang w:val="uk-UA"/>
        </w:rPr>
        <w:t>.2019</w:t>
      </w:r>
      <w:r w:rsidR="00703A31" w:rsidRPr="00DB75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3A31" w:rsidRPr="004C7BDA" w:rsidRDefault="000D77E9" w:rsidP="00204B3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3. Вимоги щодо використання бюджетних коштів</w:t>
      </w:r>
    </w:p>
    <w:p w:rsidR="000D77E9" w:rsidRPr="004C7BDA" w:rsidRDefault="008A70E2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 Фінансування</w:t>
      </w:r>
      <w:r w:rsidR="000D77E9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Заходів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="000D77E9" w:rsidRPr="004C7BDA">
        <w:rPr>
          <w:rFonts w:ascii="Times New Roman" w:hAnsi="Times New Roman" w:cs="Times New Roman"/>
          <w:sz w:val="24"/>
          <w:szCs w:val="24"/>
        </w:rPr>
        <w:t>проводить  в  межах  сум, передбачених  бюджетними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призначеннями на 20</w:t>
      </w:r>
      <w:r w:rsidR="000D76A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77E9" w:rsidRPr="004C7BDA">
        <w:rPr>
          <w:rFonts w:ascii="Times New Roman" w:hAnsi="Times New Roman" w:cs="Times New Roman"/>
          <w:sz w:val="24"/>
          <w:szCs w:val="24"/>
        </w:rPr>
        <w:t xml:space="preserve"> рік, з урахуванням поданих Одержувачем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4C7BDA">
        <w:rPr>
          <w:rFonts w:ascii="Times New Roman" w:hAnsi="Times New Roman" w:cs="Times New Roman"/>
          <w:sz w:val="24"/>
          <w:szCs w:val="24"/>
        </w:rPr>
        <w:t>розрахунків.</w:t>
      </w:r>
    </w:p>
    <w:p w:rsidR="000D77E9" w:rsidRPr="004C7BD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2.  Одержувач  використовує  бюджетні  кошти  на  підставі  плану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використання  бюджетних  коштів,  що  містить  розподіл  бюджетних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асигнувань, затверджених у кошторисі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 w:rsidR="000D76A7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8830A5" w:rsidRPr="004C7BD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 Відкриття рахунків, реєстрація і облік зобов’язань та проведення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операцій,  пов’язаних  із  використанням  бюджетних  коштів,  здійснюється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Міністерства фінансів України від 23 серпня 2012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року № 938.</w:t>
      </w:r>
    </w:p>
    <w:p w:rsidR="00703A31" w:rsidRPr="004C7BDA" w:rsidRDefault="000D77E9" w:rsidP="00204B3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4. Напрямки використання бюджетних коштів</w:t>
      </w:r>
      <w:r w:rsidR="00E166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та контроль за виконанням Заходів</w:t>
      </w:r>
    </w:p>
    <w:p w:rsidR="000D77E9" w:rsidRPr="00DB75B9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1. </w:t>
      </w:r>
      <w:r w:rsidRPr="00DB75B9">
        <w:rPr>
          <w:rFonts w:ascii="Times New Roman" w:hAnsi="Times New Roman" w:cs="Times New Roman"/>
          <w:sz w:val="24"/>
          <w:szCs w:val="24"/>
        </w:rPr>
        <w:t xml:space="preserve">Кошти, що надаються, спрямовуються на виконання </w:t>
      </w:r>
      <w:r w:rsidR="009230AF" w:rsidRPr="00DB75B9">
        <w:rPr>
          <w:rFonts w:ascii="Times New Roman" w:hAnsi="Times New Roman" w:cs="Times New Roman"/>
          <w:sz w:val="24"/>
          <w:szCs w:val="24"/>
          <w:lang w:val="uk-UA"/>
        </w:rPr>
        <w:t>заходів Програми розвитку Міського парку культури та відпочинку ім. Т.Г. Шевченка на 2020-2023 роки, затвердженої рішенням міської ради від 21.11.2019.</w:t>
      </w:r>
    </w:p>
    <w:p w:rsidR="00CE2F3F" w:rsidRDefault="00CE2F3F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2F3F" w:rsidRPr="00CE2F3F" w:rsidRDefault="00CE2F3F" w:rsidP="00CE2F3F">
      <w:pPr>
        <w:spacing w:after="120"/>
        <w:ind w:firstLine="426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  <w:r w:rsidRPr="00CE2F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</w:p>
    <w:p w:rsidR="000D77E9" w:rsidRPr="009068E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Розподіл  коштів  за  напрям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дійснюється Одержувачем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</w:t>
      </w:r>
      <w:r w:rsidR="00B70E96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погодженого Управлінням </w:t>
      </w:r>
      <w:r w:rsidRPr="004704DA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="00967690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в межах відповідних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 бюджетних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призначень на відповідний рік.</w:t>
      </w:r>
    </w:p>
    <w:p w:rsidR="000D77E9" w:rsidRPr="004C7BD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3. Бюджетні кошти, що виділяються на виконання Заходів,</w:t>
      </w:r>
      <w:r w:rsidR="00015EF9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4C7BDA">
        <w:rPr>
          <w:rFonts w:ascii="Times New Roman" w:hAnsi="Times New Roman" w:cs="Times New Roman"/>
          <w:sz w:val="24"/>
          <w:szCs w:val="24"/>
        </w:rPr>
        <w:t>икористовуються Одержувачем на:</w:t>
      </w:r>
    </w:p>
    <w:p w:rsidR="000D77E9" w:rsidRPr="00B24F32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заробітну плату працівник</w:t>
      </w:r>
      <w:r w:rsidR="008830A5" w:rsidRPr="004C7BDA">
        <w:rPr>
          <w:rFonts w:ascii="Times New Roman" w:hAnsi="Times New Roman" w:cs="Times New Roman"/>
          <w:sz w:val="24"/>
          <w:szCs w:val="24"/>
        </w:rPr>
        <w:t>ам підприємства</w:t>
      </w:r>
      <w:r w:rsidR="000D76A7">
        <w:rPr>
          <w:rFonts w:ascii="Times New Roman" w:hAnsi="Times New Roman" w:cs="Times New Roman"/>
          <w:sz w:val="24"/>
          <w:szCs w:val="24"/>
          <w:lang w:val="uk-UA"/>
        </w:rPr>
        <w:t>, які виконують роботу по заходах програми</w:t>
      </w:r>
      <w:r w:rsidR="00B24F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A09EA" w:rsidRDefault="00204B3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830A5" w:rsidRPr="004C7BDA">
        <w:rPr>
          <w:rFonts w:ascii="Times New Roman" w:hAnsi="Times New Roman" w:cs="Times New Roman"/>
          <w:sz w:val="24"/>
          <w:szCs w:val="24"/>
        </w:rPr>
        <w:t>арахування на заробітну плату</w:t>
      </w:r>
      <w:r w:rsidR="005A09E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A09EA" w:rsidRDefault="008830A5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загальновиробничі </w:t>
      </w:r>
      <w:r w:rsidR="005A09EA">
        <w:rPr>
          <w:rFonts w:ascii="Times New Roman" w:hAnsi="Times New Roman" w:cs="Times New Roman"/>
          <w:sz w:val="24"/>
          <w:szCs w:val="24"/>
          <w:lang w:val="uk-UA"/>
        </w:rPr>
        <w:t>витрати;</w:t>
      </w:r>
    </w:p>
    <w:p w:rsidR="000D77E9" w:rsidRPr="004C7BDA" w:rsidRDefault="005A09EA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адміністративні витрати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D77E9" w:rsidRPr="004C7BD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придбання інвентар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C7BDA">
        <w:rPr>
          <w:rFonts w:ascii="Times New Roman" w:hAnsi="Times New Roman" w:cs="Times New Roman"/>
          <w:sz w:val="24"/>
          <w:szCs w:val="24"/>
        </w:rPr>
        <w:t>, витратн</w:t>
      </w:r>
      <w:r w:rsidR="008830A5" w:rsidRPr="004C7BDA">
        <w:rPr>
          <w:rFonts w:ascii="Times New Roman" w:hAnsi="Times New Roman" w:cs="Times New Roman"/>
          <w:sz w:val="24"/>
          <w:szCs w:val="24"/>
        </w:rPr>
        <w:t xml:space="preserve">их матеріалів, 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паливо-мастильн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матеріал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03A31" w:rsidRPr="004C7BD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придбання спеціального одягу;</w:t>
      </w:r>
    </w:p>
    <w:p w:rsidR="008830A5" w:rsidRPr="004C7BDA" w:rsidRDefault="004F19FE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податок на додану вартість.</w:t>
      </w:r>
    </w:p>
    <w:p w:rsidR="000D77E9" w:rsidRPr="004C7BDA" w:rsidRDefault="000D77E9" w:rsidP="00204B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5. Звітність про використання бюджетних коштів та</w:t>
      </w:r>
      <w:r w:rsidR="00E166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контроль за їх витрачанням</w:t>
      </w:r>
    </w:p>
    <w:p w:rsidR="000D77E9" w:rsidRPr="00B1594D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1. Керівник підприємства Одержувача надає на погодження до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52D">
        <w:rPr>
          <w:rFonts w:ascii="Times New Roman" w:hAnsi="Times New Roman" w:cs="Times New Roman"/>
          <w:sz w:val="24"/>
          <w:szCs w:val="24"/>
        </w:rPr>
        <w:t>річний</w:t>
      </w:r>
      <w:r w:rsidRPr="004C7BDA">
        <w:rPr>
          <w:rFonts w:ascii="Times New Roman" w:hAnsi="Times New Roman" w:cs="Times New Roman"/>
          <w:sz w:val="24"/>
          <w:szCs w:val="24"/>
        </w:rPr>
        <w:t xml:space="preserve"> план</w:t>
      </w:r>
      <w:r w:rsidR="00C62F2B">
        <w:rPr>
          <w:rFonts w:ascii="Times New Roman" w:hAnsi="Times New Roman" w:cs="Times New Roman"/>
          <w:sz w:val="24"/>
          <w:szCs w:val="24"/>
        </w:rPr>
        <w:t xml:space="preserve"> виконання Заходів. Річн</w:t>
      </w:r>
      <w:r w:rsidR="0036752D">
        <w:rPr>
          <w:rFonts w:ascii="Times New Roman" w:hAnsi="Times New Roman" w:cs="Times New Roman"/>
          <w:sz w:val="24"/>
          <w:szCs w:val="24"/>
        </w:rPr>
        <w:t xml:space="preserve">ий </w:t>
      </w:r>
      <w:r w:rsidRPr="004C7BDA">
        <w:rPr>
          <w:rFonts w:ascii="Times New Roman" w:hAnsi="Times New Roman" w:cs="Times New Roman"/>
          <w:sz w:val="24"/>
          <w:szCs w:val="24"/>
        </w:rPr>
        <w:t>план нада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4C7BDA">
        <w:rPr>
          <w:rFonts w:ascii="Times New Roman" w:hAnsi="Times New Roman" w:cs="Times New Roman"/>
          <w:sz w:val="24"/>
          <w:szCs w:val="24"/>
        </w:rPr>
        <w:t xml:space="preserve">ться протягом 10 </w:t>
      </w:r>
      <w:r w:rsidRPr="00B1594D">
        <w:rPr>
          <w:rFonts w:ascii="Times New Roman" w:hAnsi="Times New Roman" w:cs="Times New Roman"/>
          <w:sz w:val="24"/>
          <w:szCs w:val="24"/>
        </w:rPr>
        <w:t>робочих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днів з да</w:t>
      </w:r>
      <w:r w:rsidR="002E6AB4" w:rsidRPr="00B1594D">
        <w:rPr>
          <w:rFonts w:ascii="Times New Roman" w:hAnsi="Times New Roman" w:cs="Times New Roman"/>
          <w:sz w:val="24"/>
          <w:szCs w:val="24"/>
        </w:rPr>
        <w:t xml:space="preserve">ти прийняття рішення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Роменською</w:t>
      </w:r>
      <w:r w:rsidR="00703A31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70E96" w:rsidRPr="00B1594D">
        <w:rPr>
          <w:rFonts w:ascii="Times New Roman" w:hAnsi="Times New Roman" w:cs="Times New Roman"/>
          <w:sz w:val="24"/>
          <w:szCs w:val="24"/>
        </w:rPr>
        <w:t>ісько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1594D">
        <w:rPr>
          <w:rFonts w:ascii="Times New Roman" w:hAnsi="Times New Roman" w:cs="Times New Roman"/>
          <w:sz w:val="24"/>
          <w:szCs w:val="24"/>
        </w:rPr>
        <w:t xml:space="preserve"> рад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B1594D">
        <w:rPr>
          <w:rFonts w:ascii="Times New Roman" w:hAnsi="Times New Roman" w:cs="Times New Roman"/>
          <w:sz w:val="24"/>
          <w:szCs w:val="24"/>
        </w:rPr>
        <w:t>.  План</w:t>
      </w:r>
      <w:r w:rsidR="00C62F2B">
        <w:rPr>
          <w:rFonts w:ascii="Times New Roman" w:hAnsi="Times New Roman" w:cs="Times New Roman"/>
          <w:sz w:val="24"/>
          <w:szCs w:val="24"/>
        </w:rPr>
        <w:t xml:space="preserve"> пови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>нен</w:t>
      </w:r>
      <w:r w:rsidR="0036752D">
        <w:rPr>
          <w:rFonts w:ascii="Times New Roman" w:hAnsi="Times New Roman" w:cs="Times New Roman"/>
          <w:sz w:val="24"/>
          <w:szCs w:val="24"/>
        </w:rPr>
        <w:t xml:space="preserve"> бути складений</w:t>
      </w:r>
      <w:r w:rsidRPr="00B1594D">
        <w:rPr>
          <w:rFonts w:ascii="Times New Roman" w:hAnsi="Times New Roman" w:cs="Times New Roman"/>
          <w:sz w:val="24"/>
          <w:szCs w:val="24"/>
        </w:rPr>
        <w:t xml:space="preserve"> з урахуванням помісячного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плану кошторисних призначень.</w:t>
      </w:r>
    </w:p>
    <w:p w:rsidR="000D77E9" w:rsidRPr="004C7BD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94D">
        <w:rPr>
          <w:rFonts w:ascii="Times New Roman" w:hAnsi="Times New Roman" w:cs="Times New Roman"/>
          <w:sz w:val="24"/>
          <w:szCs w:val="24"/>
        </w:rPr>
        <w:t>2. Одержувач</w:t>
      </w:r>
      <w:r w:rsidR="00042D22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B1594D">
        <w:rPr>
          <w:rFonts w:ascii="Times New Roman" w:hAnsi="Times New Roman" w:cs="Times New Roman"/>
          <w:sz w:val="24"/>
          <w:szCs w:val="24"/>
        </w:rPr>
        <w:t xml:space="preserve"> виконання Заходів, але не пізніше 15-</w:t>
      </w:r>
      <w:r w:rsidRPr="004C7BDA">
        <w:rPr>
          <w:rFonts w:ascii="Times New Roman" w:hAnsi="Times New Roman" w:cs="Times New Roman"/>
          <w:sz w:val="24"/>
          <w:szCs w:val="24"/>
        </w:rPr>
        <w:t>го числа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наступного місяця, надає на погодження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7F587E" w:rsidRPr="004C7BDA">
        <w:rPr>
          <w:rFonts w:ascii="Times New Roman" w:hAnsi="Times New Roman" w:cs="Times New Roman"/>
          <w:sz w:val="24"/>
          <w:szCs w:val="24"/>
          <w:lang w:val="uk-UA"/>
        </w:rPr>
        <w:t>акти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виконаних робіт. Інформація щодо обсягу витрат на виконання Заходів протягом відповідного місяця надається Одержувачем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не пізніше 15-го числа наступного місяця у вигляді звіту про фактичні витрати за підписом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керівника підприємства та головного бухгалтера.</w:t>
      </w:r>
    </w:p>
    <w:p w:rsidR="000D77E9" w:rsidRPr="00B1594D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 Одержувач коштів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бюджетних та фінансових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зобов’язань в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управлінні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, які пов’язані із виконанням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Заходів, надає до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заявку на фінансування.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на  підставі  отр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иманих  від  Одержувача  заявок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шляхом розподілу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2F3F">
        <w:rPr>
          <w:rFonts w:ascii="Times New Roman" w:hAnsi="Times New Roman" w:cs="Times New Roman"/>
          <w:sz w:val="24"/>
          <w:szCs w:val="24"/>
          <w:lang w:val="uk-UA"/>
        </w:rPr>
        <w:t>коштів на рахунок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Одержувача,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відкритий в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управлінні 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4C7BD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4. Одержувач несе повну відповідальність</w:t>
      </w:r>
      <w:r w:rsidR="00941733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0D77E9" w:rsidRPr="004C7BD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ефективне, раціональне та цільове використання коштів міського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бюджету згідно з чинним законодавством;</w:t>
      </w:r>
    </w:p>
    <w:p w:rsidR="000D77E9" w:rsidRPr="004C7BDA" w:rsidRDefault="000D77E9" w:rsidP="00204B3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своєчасне надання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перспективних річних планів виконання Заходів, актів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виконаних робіт, звітів про витрати.</w:t>
      </w:r>
    </w:p>
    <w:p w:rsidR="000D77E9" w:rsidRPr="004C7BDA" w:rsidRDefault="000D77E9" w:rsidP="00204B39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  Складання та подання фінансової звітності про використання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бюджетних коштів Одержувачем </w:t>
      </w:r>
      <w:r w:rsidRPr="00B1594D">
        <w:rPr>
          <w:rFonts w:ascii="Times New Roman" w:hAnsi="Times New Roman" w:cs="Times New Roman"/>
          <w:sz w:val="24"/>
          <w:szCs w:val="24"/>
        </w:rPr>
        <w:t xml:space="preserve">до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управління Державної казначейської служби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та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96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4C7BDA">
        <w:rPr>
          <w:rFonts w:ascii="Times New Roman" w:hAnsi="Times New Roman" w:cs="Times New Roman"/>
          <w:sz w:val="24"/>
          <w:szCs w:val="24"/>
        </w:rPr>
        <w:t>, а також контроль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 їх цільовим використанням здійснюється у встановленому законодавством</w:t>
      </w:r>
      <w:r w:rsidR="00E16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порядку.</w:t>
      </w:r>
    </w:p>
    <w:p w:rsidR="000D0B9D" w:rsidRDefault="000D0B9D" w:rsidP="00CE2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7535" w:rsidRPr="00790497" w:rsidRDefault="009230AF" w:rsidP="00C67DF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</w:t>
      </w:r>
      <w:r w:rsidR="00C67DF3">
        <w:rPr>
          <w:rFonts w:ascii="Times New Roman" w:hAnsi="Times New Roman" w:cs="Times New Roman"/>
          <w:b/>
          <w:sz w:val="24"/>
          <w:szCs w:val="24"/>
          <w:lang w:val="uk-UA"/>
        </w:rPr>
        <w:t>виконкому</w:t>
      </w:r>
      <w:r w:rsidR="00C67DF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67DF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67DF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67DF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67DF3">
        <w:rPr>
          <w:rFonts w:ascii="Times New Roman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sectPr w:rsidR="00217535" w:rsidRPr="00790497" w:rsidSect="00C67D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90" w:rsidRDefault="003A7B90" w:rsidP="00FC2383">
      <w:pPr>
        <w:spacing w:after="0" w:line="240" w:lineRule="auto"/>
      </w:pPr>
      <w:r>
        <w:separator/>
      </w:r>
    </w:p>
  </w:endnote>
  <w:endnote w:type="continuationSeparator" w:id="0">
    <w:p w:rsidR="003A7B90" w:rsidRDefault="003A7B90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90" w:rsidRDefault="003A7B90" w:rsidP="00FC2383">
      <w:pPr>
        <w:spacing w:after="0" w:line="240" w:lineRule="auto"/>
      </w:pPr>
      <w:r>
        <w:separator/>
      </w:r>
    </w:p>
  </w:footnote>
  <w:footnote w:type="continuationSeparator" w:id="0">
    <w:p w:rsidR="003A7B90" w:rsidRDefault="003A7B90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A42"/>
    <w:multiLevelType w:val="hybridMultilevel"/>
    <w:tmpl w:val="003076A8"/>
    <w:lvl w:ilvl="0" w:tplc="035AF1BA"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56E74"/>
    <w:multiLevelType w:val="hybridMultilevel"/>
    <w:tmpl w:val="61F4594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3693D"/>
    <w:rsid w:val="00042D22"/>
    <w:rsid w:val="00043CE2"/>
    <w:rsid w:val="00044E5A"/>
    <w:rsid w:val="000476CE"/>
    <w:rsid w:val="000508DD"/>
    <w:rsid w:val="00055429"/>
    <w:rsid w:val="000A1A6B"/>
    <w:rsid w:val="000B3220"/>
    <w:rsid w:val="000C28EA"/>
    <w:rsid w:val="000D0B9D"/>
    <w:rsid w:val="000D6C1D"/>
    <w:rsid w:val="000D76A7"/>
    <w:rsid w:val="000D77E9"/>
    <w:rsid w:val="000E095D"/>
    <w:rsid w:val="00115EDE"/>
    <w:rsid w:val="00123A5C"/>
    <w:rsid w:val="00155550"/>
    <w:rsid w:val="0018211F"/>
    <w:rsid w:val="0019322E"/>
    <w:rsid w:val="00194C42"/>
    <w:rsid w:val="001A17B2"/>
    <w:rsid w:val="001D3DFE"/>
    <w:rsid w:val="00200456"/>
    <w:rsid w:val="00204B39"/>
    <w:rsid w:val="00217535"/>
    <w:rsid w:val="00220E25"/>
    <w:rsid w:val="00236D77"/>
    <w:rsid w:val="00247B3A"/>
    <w:rsid w:val="00253264"/>
    <w:rsid w:val="0026638B"/>
    <w:rsid w:val="00266C06"/>
    <w:rsid w:val="002859A4"/>
    <w:rsid w:val="00294C15"/>
    <w:rsid w:val="002A7909"/>
    <w:rsid w:val="002C3C61"/>
    <w:rsid w:val="002D5E5E"/>
    <w:rsid w:val="002E2B99"/>
    <w:rsid w:val="002E6AB4"/>
    <w:rsid w:val="003039C2"/>
    <w:rsid w:val="0030402F"/>
    <w:rsid w:val="0033241E"/>
    <w:rsid w:val="0036752D"/>
    <w:rsid w:val="0037393C"/>
    <w:rsid w:val="00375C25"/>
    <w:rsid w:val="003A7B90"/>
    <w:rsid w:val="003C2736"/>
    <w:rsid w:val="003C7527"/>
    <w:rsid w:val="003D1B11"/>
    <w:rsid w:val="003E7C95"/>
    <w:rsid w:val="004103DC"/>
    <w:rsid w:val="00431CCF"/>
    <w:rsid w:val="00432FCF"/>
    <w:rsid w:val="00435176"/>
    <w:rsid w:val="00442932"/>
    <w:rsid w:val="00451DF2"/>
    <w:rsid w:val="00454007"/>
    <w:rsid w:val="004704DA"/>
    <w:rsid w:val="00491B54"/>
    <w:rsid w:val="004938BC"/>
    <w:rsid w:val="004A0A7F"/>
    <w:rsid w:val="004B1F54"/>
    <w:rsid w:val="004B5AD2"/>
    <w:rsid w:val="004C6AC3"/>
    <w:rsid w:val="004C7BDA"/>
    <w:rsid w:val="004D099A"/>
    <w:rsid w:val="004D2A60"/>
    <w:rsid w:val="004D46D4"/>
    <w:rsid w:val="004F19FE"/>
    <w:rsid w:val="004F4071"/>
    <w:rsid w:val="00542AE2"/>
    <w:rsid w:val="00545FAF"/>
    <w:rsid w:val="005478F4"/>
    <w:rsid w:val="00560B5F"/>
    <w:rsid w:val="0057644C"/>
    <w:rsid w:val="00576A38"/>
    <w:rsid w:val="005A09EA"/>
    <w:rsid w:val="005A272D"/>
    <w:rsid w:val="005B41DC"/>
    <w:rsid w:val="005D7C83"/>
    <w:rsid w:val="005E0910"/>
    <w:rsid w:val="005E5C7A"/>
    <w:rsid w:val="00650451"/>
    <w:rsid w:val="00663343"/>
    <w:rsid w:val="006759CA"/>
    <w:rsid w:val="006873FD"/>
    <w:rsid w:val="00697FBC"/>
    <w:rsid w:val="006B2146"/>
    <w:rsid w:val="006B662B"/>
    <w:rsid w:val="006E0B70"/>
    <w:rsid w:val="006E362C"/>
    <w:rsid w:val="00703A31"/>
    <w:rsid w:val="007101E9"/>
    <w:rsid w:val="00710EFB"/>
    <w:rsid w:val="0073411F"/>
    <w:rsid w:val="00740D3B"/>
    <w:rsid w:val="007607C9"/>
    <w:rsid w:val="00766278"/>
    <w:rsid w:val="00783893"/>
    <w:rsid w:val="00790497"/>
    <w:rsid w:val="00793A0C"/>
    <w:rsid w:val="00797964"/>
    <w:rsid w:val="007A3B12"/>
    <w:rsid w:val="007B0DDA"/>
    <w:rsid w:val="007B220C"/>
    <w:rsid w:val="007B5ECC"/>
    <w:rsid w:val="007B76F3"/>
    <w:rsid w:val="007E18A1"/>
    <w:rsid w:val="007E24D0"/>
    <w:rsid w:val="007F587E"/>
    <w:rsid w:val="007F6CB7"/>
    <w:rsid w:val="00800BB7"/>
    <w:rsid w:val="00803E1B"/>
    <w:rsid w:val="008073CE"/>
    <w:rsid w:val="0081241E"/>
    <w:rsid w:val="00822AFC"/>
    <w:rsid w:val="00825BD8"/>
    <w:rsid w:val="00825EAC"/>
    <w:rsid w:val="008830A5"/>
    <w:rsid w:val="008A6348"/>
    <w:rsid w:val="008A70E2"/>
    <w:rsid w:val="008B3213"/>
    <w:rsid w:val="008C7E73"/>
    <w:rsid w:val="008D55CD"/>
    <w:rsid w:val="008E0424"/>
    <w:rsid w:val="008E7F0F"/>
    <w:rsid w:val="008F751B"/>
    <w:rsid w:val="008F76AF"/>
    <w:rsid w:val="009033EE"/>
    <w:rsid w:val="009068EA"/>
    <w:rsid w:val="009127D5"/>
    <w:rsid w:val="009230AF"/>
    <w:rsid w:val="00925329"/>
    <w:rsid w:val="009403BF"/>
    <w:rsid w:val="00941733"/>
    <w:rsid w:val="009441E2"/>
    <w:rsid w:val="00967690"/>
    <w:rsid w:val="00967B87"/>
    <w:rsid w:val="00984F53"/>
    <w:rsid w:val="00987109"/>
    <w:rsid w:val="00994A06"/>
    <w:rsid w:val="00997D6B"/>
    <w:rsid w:val="009A5114"/>
    <w:rsid w:val="009A543F"/>
    <w:rsid w:val="009B387B"/>
    <w:rsid w:val="009D1044"/>
    <w:rsid w:val="009E1B4A"/>
    <w:rsid w:val="00A11CFE"/>
    <w:rsid w:val="00A2226A"/>
    <w:rsid w:val="00A3124C"/>
    <w:rsid w:val="00A4223C"/>
    <w:rsid w:val="00A750A7"/>
    <w:rsid w:val="00A801E9"/>
    <w:rsid w:val="00AF1BEA"/>
    <w:rsid w:val="00B1594D"/>
    <w:rsid w:val="00B17F7F"/>
    <w:rsid w:val="00B24F32"/>
    <w:rsid w:val="00B42968"/>
    <w:rsid w:val="00B4538E"/>
    <w:rsid w:val="00B56388"/>
    <w:rsid w:val="00B65F5B"/>
    <w:rsid w:val="00B70E96"/>
    <w:rsid w:val="00B86EF7"/>
    <w:rsid w:val="00B875D6"/>
    <w:rsid w:val="00B93082"/>
    <w:rsid w:val="00B9522A"/>
    <w:rsid w:val="00BA7FA3"/>
    <w:rsid w:val="00BE45F2"/>
    <w:rsid w:val="00BF1C79"/>
    <w:rsid w:val="00C02919"/>
    <w:rsid w:val="00C05343"/>
    <w:rsid w:val="00C159D3"/>
    <w:rsid w:val="00C47B37"/>
    <w:rsid w:val="00C62F2B"/>
    <w:rsid w:val="00C63F0F"/>
    <w:rsid w:val="00C67DF3"/>
    <w:rsid w:val="00CA4746"/>
    <w:rsid w:val="00CB08C1"/>
    <w:rsid w:val="00CB4765"/>
    <w:rsid w:val="00CE2F3F"/>
    <w:rsid w:val="00CE52E3"/>
    <w:rsid w:val="00CF680D"/>
    <w:rsid w:val="00D1475E"/>
    <w:rsid w:val="00D21F72"/>
    <w:rsid w:val="00D25EDC"/>
    <w:rsid w:val="00D451CD"/>
    <w:rsid w:val="00D512E7"/>
    <w:rsid w:val="00D5271C"/>
    <w:rsid w:val="00D650F2"/>
    <w:rsid w:val="00D72BFC"/>
    <w:rsid w:val="00DA1E64"/>
    <w:rsid w:val="00DB6776"/>
    <w:rsid w:val="00DB75B9"/>
    <w:rsid w:val="00DD7638"/>
    <w:rsid w:val="00DE134E"/>
    <w:rsid w:val="00DE613B"/>
    <w:rsid w:val="00DF1FF1"/>
    <w:rsid w:val="00E10761"/>
    <w:rsid w:val="00E13A81"/>
    <w:rsid w:val="00E166BE"/>
    <w:rsid w:val="00E4056B"/>
    <w:rsid w:val="00E517DB"/>
    <w:rsid w:val="00E5408B"/>
    <w:rsid w:val="00E667CC"/>
    <w:rsid w:val="00E92798"/>
    <w:rsid w:val="00EB7F8F"/>
    <w:rsid w:val="00ED76FE"/>
    <w:rsid w:val="00EF458E"/>
    <w:rsid w:val="00F01665"/>
    <w:rsid w:val="00F07F0F"/>
    <w:rsid w:val="00F131DE"/>
    <w:rsid w:val="00F23216"/>
    <w:rsid w:val="00F26023"/>
    <w:rsid w:val="00F36E16"/>
    <w:rsid w:val="00F46E9C"/>
    <w:rsid w:val="00F47FA0"/>
    <w:rsid w:val="00F50E91"/>
    <w:rsid w:val="00F7237E"/>
    <w:rsid w:val="00F72A28"/>
    <w:rsid w:val="00F75030"/>
    <w:rsid w:val="00F763D9"/>
    <w:rsid w:val="00F83712"/>
    <w:rsid w:val="00F90D16"/>
    <w:rsid w:val="00FA42F6"/>
    <w:rsid w:val="00FB4504"/>
    <w:rsid w:val="00FC2383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E5DD"/>
  <w15:docId w15:val="{6465F360-65D1-4B70-ADA8-5B0655EB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1405-0291-4162-A76A-EA87D99F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21</cp:revision>
  <cp:lastPrinted>2020-03-11T11:51:00Z</cp:lastPrinted>
  <dcterms:created xsi:type="dcterms:W3CDTF">2021-01-13T14:31:00Z</dcterms:created>
  <dcterms:modified xsi:type="dcterms:W3CDTF">2022-02-16T11:42:00Z</dcterms:modified>
</cp:coreProperties>
</file>