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67" w:rsidRPr="00DC6A67" w:rsidRDefault="00DC6A67" w:rsidP="00DC6A67">
      <w:pPr>
        <w:tabs>
          <w:tab w:val="left" w:pos="9498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C6A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ПРОЕКТ РІШЕННЯ</w:t>
      </w:r>
    </w:p>
    <w:p w:rsidR="00DC6A67" w:rsidRPr="00DC6A67" w:rsidRDefault="00DC6A67" w:rsidP="00DC6A67">
      <w:pPr>
        <w:tabs>
          <w:tab w:val="left" w:pos="9498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C6A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DC6A67" w:rsidRDefault="00DC6A67" w:rsidP="00DC6A67">
      <w:pPr>
        <w:spacing w:after="0" w:line="240" w:lineRule="auto"/>
        <w:ind w:right="510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C6A67" w:rsidRPr="00DC6A67" w:rsidRDefault="00DC6A67" w:rsidP="00DC6A67">
      <w:pPr>
        <w:spacing w:after="0" w:line="240" w:lineRule="auto"/>
        <w:ind w:right="510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3690" w:rsidRDefault="00DC6A67" w:rsidP="00DC6A67">
      <w:pPr>
        <w:spacing w:after="0" w:line="240" w:lineRule="auto"/>
        <w:ind w:right="510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C6A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Дата розгляду: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26.05.2021</w:t>
      </w:r>
      <w:bookmarkStart w:id="0" w:name="_GoBack"/>
      <w:bookmarkEnd w:id="0"/>
    </w:p>
    <w:p w:rsidR="00DC6A67" w:rsidRPr="00DC6A67" w:rsidRDefault="00DC6A67" w:rsidP="00DC6A67">
      <w:pPr>
        <w:spacing w:after="0" w:line="240" w:lineRule="auto"/>
        <w:ind w:right="510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3690" w:rsidRPr="006C22AD" w:rsidRDefault="004E3690" w:rsidP="00061368">
      <w:pPr>
        <w:widowControl w:val="0"/>
        <w:spacing w:after="0"/>
        <w:ind w:right="46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 w:rsidRPr="006C22A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</w:p>
    <w:p w:rsidR="004E3690" w:rsidRPr="006C22AD" w:rsidRDefault="004E3690" w:rsidP="007B55CE">
      <w:pPr>
        <w:widowControl w:val="0"/>
        <w:spacing w:after="0" w:line="264" w:lineRule="exact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4E3690" w:rsidRPr="006C22AD" w:rsidRDefault="004E3690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 для забезпечення ефективного функціонування житлово-комунального господарства міста і оперативного вирішення проблем у галузі житлово-комунального господарства</w:t>
      </w:r>
    </w:p>
    <w:p w:rsidR="00061368" w:rsidRPr="006C22AD" w:rsidRDefault="00061368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3690" w:rsidRPr="006C22AD" w:rsidRDefault="004E3690" w:rsidP="007B55CE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МІСЬКА РАДА ВИРІШИЛА:</w:t>
      </w:r>
    </w:p>
    <w:p w:rsidR="00061368" w:rsidRPr="006C22AD" w:rsidRDefault="00061368" w:rsidP="007B55CE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EE36E3" w:rsidRPr="006C22AD" w:rsidRDefault="00EE36E3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6C22A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2020-2022 роки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29.11.2019 (далі – Програма):</w:t>
      </w:r>
    </w:p>
    <w:p w:rsidR="00EE36E3" w:rsidRPr="006C22AD" w:rsidRDefault="00EE36E3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013B" w:rsidRPr="004A2279" w:rsidRDefault="00EE36E3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1) </w:t>
      </w:r>
      <w:r w:rsidR="00B7013B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викласти підпункт</w:t>
      </w:r>
      <w:r w:rsidR="008E7099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B7013B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3.1 «Придбання лічильників електроенергії</w:t>
      </w:r>
      <w:r w:rsidR="008E7099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трансформаторів</w:t>
      </w:r>
      <w:r w:rsidR="00B7013B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8E7099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3.2 «Поточний ремонт </w:t>
      </w:r>
      <w:proofErr w:type="spellStart"/>
      <w:r w:rsidR="008E7099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внутрішньобудинкової</w:t>
      </w:r>
      <w:proofErr w:type="spellEnd"/>
      <w:r w:rsidR="008E7099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електромережі загального користування (встановлення трансформаторів та лічильників електроенергії в житлових будинках)» </w:t>
      </w:r>
      <w:r w:rsidR="00B7013B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1 «Забезпечення безперебійного постачання електроенергії місць загального користування в житлових будинках» розділу «Забезпечення надійної та безперебійної експлуатації житлового фонду та прибудинкових територій»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у наступній редакції:</w:t>
      </w:r>
    </w:p>
    <w:p w:rsidR="00B7013B" w:rsidRPr="004A2279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4A2279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4A2279" w:rsidTr="00887F14">
        <w:trPr>
          <w:trHeight w:val="5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4A2279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A2279" w:rsidRPr="004A2279" w:rsidTr="004A2279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4A2279" w:rsidRPr="004A2279" w:rsidTr="004A2279">
        <w:trPr>
          <w:trHeight w:val="26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 Придбання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79" w:rsidRPr="004A2279" w:rsidRDefault="004A2279" w:rsidP="004A227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A2279" w:rsidRPr="004A2279" w:rsidTr="004A2279">
        <w:trPr>
          <w:trHeight w:val="415"/>
        </w:trPr>
        <w:tc>
          <w:tcPr>
            <w:tcW w:w="9645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DC6A67" w:rsidRDefault="00DC6A67" w:rsidP="004A22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6A67" w:rsidRDefault="00DC6A67" w:rsidP="004A22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6A67" w:rsidRDefault="00DC6A67" w:rsidP="004A22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6A67" w:rsidRDefault="00DC6A67" w:rsidP="004A22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6A67" w:rsidRDefault="00DC6A67" w:rsidP="004A22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6A67" w:rsidRDefault="00DC6A67" w:rsidP="004A22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C6A67" w:rsidRDefault="00DC6A67" w:rsidP="004A22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A2279" w:rsidRPr="004A2279" w:rsidRDefault="004A2279" w:rsidP="004A227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Продовження додатка</w:t>
            </w:r>
          </w:p>
          <w:p w:rsidR="004A2279" w:rsidRPr="004A2279" w:rsidRDefault="004A2279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A2279" w:rsidRPr="004A2279" w:rsidTr="004A2279">
        <w:trPr>
          <w:trHeight w:val="28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79" w:rsidRPr="004A2279" w:rsidRDefault="004A2279" w:rsidP="004A2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79" w:rsidRPr="004A2279" w:rsidRDefault="004A2279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79" w:rsidRPr="004A2279" w:rsidRDefault="004A2279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4A2279" w:rsidRPr="004A2279" w:rsidTr="004A2279">
        <w:trPr>
          <w:trHeight w:val="84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безперебійного постачання електроенергії місць загального користування в житлових будинках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лічильників електроенергії та трансформаторів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79" w:rsidRPr="004A2279" w:rsidRDefault="004A2279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4A2279" w:rsidRPr="004A2279" w:rsidRDefault="004A2279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4A2279" w:rsidRPr="004A2279" w:rsidRDefault="004A2279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4A2279" w:rsidRPr="004A2279" w:rsidRDefault="004A2279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79" w:rsidRPr="004A2279" w:rsidRDefault="004A2279" w:rsidP="00CB12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Міський </w:t>
            </w:r>
            <w:proofErr w:type="spellStart"/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бюд</w:t>
            </w:r>
            <w:proofErr w:type="spellEnd"/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жет</w:t>
            </w:r>
            <w:proofErr w:type="spellEnd"/>
          </w:p>
        </w:tc>
        <w:tc>
          <w:tcPr>
            <w:tcW w:w="1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4A2279" w:rsidRPr="006C22AD" w:rsidTr="008E7099">
        <w:trPr>
          <w:trHeight w:val="8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279" w:rsidRPr="004A2279" w:rsidRDefault="004A2279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Поточний ремонт </w:t>
            </w:r>
            <w:proofErr w:type="spellStart"/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внутрішньобудинкової</w:t>
            </w:r>
            <w:proofErr w:type="spellEnd"/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електромережі загального користування (встановлення трансформаторів та лічильників електроенергії в житлових будинках)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4A2279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6C22AD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79" w:rsidRPr="006C22AD" w:rsidRDefault="004A2279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6C22AD" w:rsidRDefault="004A2279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79" w:rsidRPr="006C22AD" w:rsidRDefault="004A2279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279" w:rsidRPr="006C22AD" w:rsidRDefault="004A2279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B7013B" w:rsidRPr="006C22AD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556" w:rsidRPr="004A2279" w:rsidRDefault="00AB6EF6" w:rsidP="0014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144556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 5.1 «Виготовлення документації на право власності гуртожитків та соціального житла» пункту 5 «Оформлення права власності на житлові приміщення» розділу «Забезпечення надійної та безперебійної експлуатації житлового фонду та прибудинкових територій»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у наступній редакції:</w:t>
      </w:r>
    </w:p>
    <w:p w:rsidR="00144556" w:rsidRPr="004A2279" w:rsidRDefault="00144556" w:rsidP="0014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144556" w:rsidRPr="004A2279" w:rsidTr="00CB123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144556" w:rsidRPr="004A2279" w:rsidTr="00CB123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4A2279" w:rsidRDefault="00144556" w:rsidP="00CB12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44556" w:rsidRPr="00297460" w:rsidTr="00CB1233">
        <w:trPr>
          <w:trHeight w:val="19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556" w:rsidRPr="00297460" w:rsidRDefault="00144556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Оформлення права власності на житлові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556" w:rsidRPr="00297460" w:rsidRDefault="00144556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5.1. Послуги із поточної інвентаризації та виготовлення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техдокументації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297460" w:rsidRDefault="00144556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297460" w:rsidRDefault="00144556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297460" w:rsidRDefault="00144556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56" w:rsidRPr="00297460" w:rsidRDefault="00144556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144556" w:rsidRPr="00297460" w:rsidRDefault="00144556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297460" w:rsidRDefault="00144556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144556" w:rsidRPr="00297460" w:rsidRDefault="00144556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144556" w:rsidRPr="00297460" w:rsidRDefault="00144556" w:rsidP="00CB123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56" w:rsidRPr="00297460" w:rsidRDefault="00144556" w:rsidP="00CB12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44556" w:rsidRPr="00297460" w:rsidRDefault="00144556" w:rsidP="00CB12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556" w:rsidRPr="00297460" w:rsidRDefault="00144556" w:rsidP="00CB12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</w:tbl>
    <w:p w:rsidR="00144556" w:rsidRPr="00297460" w:rsidRDefault="0014455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013B" w:rsidRPr="00297460" w:rsidRDefault="00AB6EF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викласти підпункти </w:t>
      </w:r>
      <w:r w:rsidR="005C2E0D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1.22 «Лабораторне дослідження питної води», 1.24 «Послуги медичних лабораторій» та 1.25 «Поточний ремонт водопроводів» 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1 «</w:t>
      </w:r>
      <w:r w:rsidR="005C2E0D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безперебійного функціонування водопровідно-каналізаційних мереж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</w:t>
      </w:r>
      <w:r w:rsidR="005C2E0D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належної та безперебійної роботи водопровідно-каналізаційного господарства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додатку 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у наступній редакції:</w:t>
      </w:r>
    </w:p>
    <w:p w:rsidR="00B7013B" w:rsidRPr="0029746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1"/>
      </w:tblGrid>
      <w:tr w:rsidR="00B7013B" w:rsidRPr="00297460" w:rsidTr="00C85380">
        <w:tc>
          <w:tcPr>
            <w:tcW w:w="1560" w:type="dxa"/>
            <w:vMerge w:val="restart"/>
            <w:vAlign w:val="center"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vAlign w:val="center"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1" w:type="dxa"/>
            <w:vMerge w:val="restart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297460" w:rsidTr="00780C24">
        <w:trPr>
          <w:trHeight w:val="447"/>
        </w:trPr>
        <w:tc>
          <w:tcPr>
            <w:tcW w:w="1560" w:type="dxa"/>
            <w:vMerge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013B" w:rsidRPr="00D756A5" w:rsidTr="00887F14">
        <w:trPr>
          <w:trHeight w:val="1107"/>
        </w:trPr>
        <w:tc>
          <w:tcPr>
            <w:tcW w:w="1560" w:type="dxa"/>
            <w:vMerge w:val="restart"/>
          </w:tcPr>
          <w:p w:rsidR="00B7013B" w:rsidRPr="00297460" w:rsidRDefault="00B7013B" w:rsidP="005C2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5C2E0D"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Забезпечення безперебійного функціонування водопровідно-каналізаційних мереж</w:t>
            </w:r>
          </w:p>
        </w:tc>
        <w:tc>
          <w:tcPr>
            <w:tcW w:w="1701" w:type="dxa"/>
          </w:tcPr>
          <w:p w:rsidR="00B7013B" w:rsidRPr="00297460" w:rsidRDefault="005C2E0D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1.22. Лабораторне дослідження питної води</w:t>
            </w:r>
          </w:p>
        </w:tc>
        <w:tc>
          <w:tcPr>
            <w:tcW w:w="708" w:type="dxa"/>
            <w:vAlign w:val="center"/>
          </w:tcPr>
          <w:p w:rsidR="00B7013B" w:rsidRPr="00297460" w:rsidRDefault="005C2E0D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vAlign w:val="center"/>
          </w:tcPr>
          <w:p w:rsidR="00B7013B" w:rsidRPr="00297460" w:rsidRDefault="005C2E0D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7013B" w:rsidRPr="00297460" w:rsidRDefault="005C2E0D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992" w:type="dxa"/>
            <w:vMerge w:val="restart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013B" w:rsidRPr="0029746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B7013B" w:rsidRPr="0029746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B7013B" w:rsidRPr="0029746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vAlign w:val="center"/>
          </w:tcPr>
          <w:p w:rsidR="00B7013B" w:rsidRPr="0029746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1" w:type="dxa"/>
            <w:vMerge w:val="restart"/>
            <w:vAlign w:val="center"/>
          </w:tcPr>
          <w:p w:rsidR="00B7013B" w:rsidRPr="00297460" w:rsidRDefault="005C2E0D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Підвищення експлуатаційних властивостей водопровідно-каналізаційного господарства і утримання його у належному стані, забезпечення його надійності та безпечної експлуатації</w:t>
            </w:r>
          </w:p>
        </w:tc>
      </w:tr>
      <w:tr w:rsidR="00B7013B" w:rsidRPr="00297460" w:rsidTr="005C2E0D">
        <w:trPr>
          <w:trHeight w:val="841"/>
        </w:trPr>
        <w:tc>
          <w:tcPr>
            <w:tcW w:w="1560" w:type="dxa"/>
            <w:vMerge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7013B" w:rsidRPr="00297460" w:rsidRDefault="005C2E0D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1.24. Послуги медичних лабораторій</w:t>
            </w:r>
          </w:p>
        </w:tc>
        <w:tc>
          <w:tcPr>
            <w:tcW w:w="708" w:type="dxa"/>
            <w:vAlign w:val="center"/>
          </w:tcPr>
          <w:p w:rsidR="00B7013B" w:rsidRPr="00297460" w:rsidRDefault="005C2E0D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vAlign w:val="center"/>
          </w:tcPr>
          <w:p w:rsidR="00B7013B" w:rsidRPr="00297460" w:rsidRDefault="005C2E0D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7013B" w:rsidRPr="00297460" w:rsidRDefault="005C2E0D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B7013B" w:rsidRPr="0029746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B7013B" w:rsidRPr="0029746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7013B" w:rsidRPr="00297460" w:rsidTr="00C85380">
        <w:trPr>
          <w:trHeight w:val="794"/>
        </w:trPr>
        <w:tc>
          <w:tcPr>
            <w:tcW w:w="1560" w:type="dxa"/>
            <w:vMerge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7013B" w:rsidRPr="00297460" w:rsidRDefault="005C2E0D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1.25. Поточний ремонт водопроводів</w:t>
            </w:r>
          </w:p>
        </w:tc>
        <w:tc>
          <w:tcPr>
            <w:tcW w:w="708" w:type="dxa"/>
            <w:vAlign w:val="center"/>
          </w:tcPr>
          <w:p w:rsidR="00B7013B" w:rsidRPr="00297460" w:rsidRDefault="005C2E0D" w:rsidP="005C2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vAlign w:val="center"/>
          </w:tcPr>
          <w:p w:rsidR="00B7013B" w:rsidRPr="00297460" w:rsidRDefault="005C2E0D" w:rsidP="005C2E0D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135,1</w:t>
            </w:r>
          </w:p>
        </w:tc>
        <w:tc>
          <w:tcPr>
            <w:tcW w:w="709" w:type="dxa"/>
            <w:vAlign w:val="center"/>
          </w:tcPr>
          <w:p w:rsidR="00B7013B" w:rsidRPr="00297460" w:rsidRDefault="005C2E0D" w:rsidP="005C2E0D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B7013B" w:rsidRPr="00297460" w:rsidRDefault="00B7013B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B7013B" w:rsidRPr="00297460" w:rsidRDefault="00B7013B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B7013B" w:rsidRPr="0029746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013B" w:rsidRPr="00297460" w:rsidRDefault="00DE6A0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підпункти 7.1 «Поточний (ямковий)</w:t>
      </w:r>
      <w:r w:rsidR="001628FE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ремонт дорожнього покриття» </w:t>
      </w:r>
      <w:r w:rsidR="00463296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628FE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7.8 «Поточний середній ремонт автомобільних доріг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» пункту «Забезпечення належного стану доріг та тротуарів міста для безпечного руху транспорту та пішоходів» розділу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у наступній редакції:</w:t>
      </w:r>
    </w:p>
    <w:p w:rsidR="00B7013B" w:rsidRPr="0029746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29746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297460" w:rsidTr="00C8538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87F14" w:rsidRPr="00297460" w:rsidTr="009B098A">
        <w:trPr>
          <w:trHeight w:val="140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F14" w:rsidRPr="00297460" w:rsidRDefault="00887F14" w:rsidP="007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 Забезпечення належного стану доріг та тротуарів </w:t>
            </w:r>
          </w:p>
          <w:p w:rsidR="00887F14" w:rsidRPr="00297460" w:rsidRDefault="00887F14" w:rsidP="007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міста для безпечного руху транспорту та пішоходів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F14" w:rsidRPr="00297460" w:rsidRDefault="00887F14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 Поточний (ямковий) ремонт дорожнього покриття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2 370,0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FD6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3 720,5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F14" w:rsidRPr="00297460" w:rsidRDefault="00887F14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887F14" w:rsidRPr="00297460" w:rsidRDefault="00887F14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887F14" w:rsidRPr="00297460" w:rsidRDefault="00887F14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887F14" w:rsidRPr="00297460" w:rsidRDefault="00887F14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F14" w:rsidRPr="00297460" w:rsidRDefault="00887F14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87F14" w:rsidRPr="00297460" w:rsidRDefault="00887F14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887F14" w:rsidRPr="00297460" w:rsidTr="00887F14">
        <w:trPr>
          <w:trHeight w:val="14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7F14" w:rsidRPr="00297460" w:rsidRDefault="00887F14" w:rsidP="007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14" w:rsidRPr="00297460" w:rsidRDefault="00887F14" w:rsidP="007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7.8. Поточний середній ремонт автомобільних доріг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7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3 584,6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780C2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1 924,7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780C24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2 719,2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F14" w:rsidRPr="00297460" w:rsidRDefault="00887F14" w:rsidP="00780C24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780C24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F14" w:rsidRPr="00297460" w:rsidRDefault="00887F14" w:rsidP="00780C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780C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7013B" w:rsidRPr="00297460" w:rsidRDefault="00DE6A0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5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</w:t>
      </w:r>
      <w:r w:rsidR="00E72018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12.1 «Поточний ремонт об’єктів дорожньо-транспортної мережі (фарбування)»</w:t>
      </w:r>
      <w:r w:rsidR="00E72018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12.2 «Поточний ремонт малих архітектурних споруд» та 12.3 «Оцінка технічного стану мосту через річку </w:t>
      </w:r>
      <w:proofErr w:type="spellStart"/>
      <w:r w:rsidR="00E72018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Лозовка</w:t>
      </w:r>
      <w:proofErr w:type="spellEnd"/>
      <w:r w:rsidR="00E72018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вул. </w:t>
      </w:r>
      <w:proofErr w:type="spellStart"/>
      <w:r w:rsidR="00E72018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Дудіна</w:t>
      </w:r>
      <w:proofErr w:type="spellEnd"/>
      <w:r w:rsidR="00E72018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12 «Утримання в належному стані об’єктів благоустрою та їх частин» розділу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у наступній редакції:</w:t>
      </w:r>
    </w:p>
    <w:p w:rsidR="00B7013B" w:rsidRPr="0029746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B7013B" w:rsidRPr="0029746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B7013B" w:rsidRPr="00297460" w:rsidTr="00887F14">
        <w:trPr>
          <w:trHeight w:val="4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3B" w:rsidRPr="00297460" w:rsidRDefault="00B7013B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C1863" w:rsidRPr="00297460" w:rsidTr="00CA1F3F">
        <w:trPr>
          <w:trHeight w:val="22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863" w:rsidRPr="00297460" w:rsidRDefault="002C1863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 Утримання в належному стані об’єктів благоустрою та їх частин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3" w:rsidRPr="00297460" w:rsidRDefault="002C1863" w:rsidP="002C1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12.1. Поточний ремонт об’єктів дорожньо-транспортної мережі (фарбування)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2C1863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E72018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2C1863" w:rsidP="008E709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863" w:rsidRPr="00297460" w:rsidRDefault="002C1863" w:rsidP="008E709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2C1863" w:rsidRPr="00297460" w:rsidRDefault="002C1863" w:rsidP="008E709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2C1863" w:rsidP="008E709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2C1863" w:rsidRPr="00297460" w:rsidRDefault="002C1863" w:rsidP="008E709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2C1863" w:rsidRPr="00297460" w:rsidRDefault="002C1863" w:rsidP="008E709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863" w:rsidRPr="00297460" w:rsidRDefault="002C1863" w:rsidP="008E70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C1863" w:rsidRPr="00297460" w:rsidRDefault="002C1863" w:rsidP="008E70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2C1863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Поліпшення зовнішнього вигляду об’єктів дорожньо-транспортної мережі</w:t>
            </w:r>
          </w:p>
        </w:tc>
      </w:tr>
      <w:tr w:rsidR="002C1863" w:rsidRPr="00297460" w:rsidTr="00887F14">
        <w:trPr>
          <w:trHeight w:val="14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863" w:rsidRPr="00297460" w:rsidRDefault="002C1863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3" w:rsidRPr="00297460" w:rsidRDefault="002C1863" w:rsidP="002C1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12.2. Поточний ремонт малих архітектурних споруд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4E40FB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E72018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4E40FB" w:rsidP="008E7099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52,1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863" w:rsidRPr="00297460" w:rsidRDefault="002C1863" w:rsidP="008E709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2C1863" w:rsidP="008E709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863" w:rsidRPr="00297460" w:rsidRDefault="002C1863" w:rsidP="008E70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2C1863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1863" w:rsidRPr="00297460" w:rsidTr="00887F14">
        <w:trPr>
          <w:trHeight w:val="1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863" w:rsidRPr="00297460" w:rsidRDefault="002C1863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863" w:rsidRPr="00297460" w:rsidRDefault="002C1863" w:rsidP="002C1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12.3. Оцінка технічного стану мосту через річку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Лозовка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вул.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Дудіна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4E40FB" w:rsidP="004E4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E72018" w:rsidP="004E4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4E40FB" w:rsidP="004E40FB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863" w:rsidRPr="00297460" w:rsidRDefault="002C1863" w:rsidP="008E709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2C1863" w:rsidP="008E709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863" w:rsidRPr="00297460" w:rsidRDefault="002C1863" w:rsidP="008E70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863" w:rsidRPr="00297460" w:rsidRDefault="002C1863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7013B" w:rsidRPr="0029746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018" w:rsidRPr="00297460" w:rsidRDefault="00DE6A06" w:rsidP="00E7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E72018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 20.1 «Аналіз води та дезінфекція колодязів громадського користування» пункту 20 «Забезпечення відповідності води в колодязях громадського користування нормам якості» розділу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у наступній редакції:</w:t>
      </w:r>
    </w:p>
    <w:p w:rsidR="00E72018" w:rsidRPr="00297460" w:rsidRDefault="00E72018" w:rsidP="00E72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E72018" w:rsidRPr="00297460" w:rsidTr="00887F14">
        <w:trPr>
          <w:trHeight w:val="5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72018" w:rsidRPr="00297460" w:rsidTr="00887F14">
        <w:trPr>
          <w:trHeight w:val="45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87F14" w:rsidRPr="00297460" w:rsidTr="00887F14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F14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F14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F14" w:rsidRPr="00297460" w:rsidRDefault="00297460" w:rsidP="0029746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297460" w:rsidP="0029746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F14" w:rsidRPr="00297460" w:rsidRDefault="00297460" w:rsidP="00297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87F14" w:rsidRPr="00297460" w:rsidTr="00297460">
        <w:trPr>
          <w:trHeight w:val="415"/>
        </w:trPr>
        <w:tc>
          <w:tcPr>
            <w:tcW w:w="9645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887F14" w:rsidRPr="004A2279" w:rsidRDefault="00887F14" w:rsidP="00887F1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Продовження додатка</w:t>
            </w:r>
          </w:p>
          <w:p w:rsidR="00887F14" w:rsidRPr="00297460" w:rsidRDefault="00887F14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7F14" w:rsidRPr="00297460" w:rsidTr="00887F14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F14" w:rsidRPr="00297460" w:rsidRDefault="00887F14" w:rsidP="00887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F14" w:rsidRPr="00297460" w:rsidRDefault="00887F14" w:rsidP="00887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887F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E72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E72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F14" w:rsidRPr="00297460" w:rsidRDefault="00887F14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CA1F3F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F14" w:rsidRPr="00297460" w:rsidRDefault="00887F14" w:rsidP="00CA1F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F14" w:rsidRPr="00297460" w:rsidRDefault="00887F14" w:rsidP="00CA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E72018" w:rsidRPr="00297460" w:rsidTr="00CA1F3F">
        <w:trPr>
          <w:trHeight w:val="22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018" w:rsidRPr="00297460" w:rsidRDefault="00E72018" w:rsidP="00CA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 Забезпечення відповідності води в колодязях громадського користування нормам якості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018" w:rsidRPr="00297460" w:rsidRDefault="00E72018" w:rsidP="00CA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20.1. Аналіз води та дезінфекція колодязів громадського користування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E72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E72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E72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18" w:rsidRPr="00297460" w:rsidRDefault="00E72018" w:rsidP="00CA1F3F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E72018" w:rsidRPr="00297460" w:rsidRDefault="00E72018" w:rsidP="00CA1F3F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E72018" w:rsidRPr="00297460" w:rsidRDefault="00E72018" w:rsidP="00CA1F3F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</w:t>
            </w:r>
          </w:p>
          <w:p w:rsidR="00E72018" w:rsidRPr="00297460" w:rsidRDefault="00E72018" w:rsidP="00CA1F3F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018" w:rsidRPr="00297460" w:rsidRDefault="00E72018" w:rsidP="00CA1F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72018" w:rsidRPr="00297460" w:rsidRDefault="00E72018" w:rsidP="00CA1F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018" w:rsidRPr="00297460" w:rsidRDefault="00E72018" w:rsidP="00CA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Покращення якості води в колодязях громадського користування</w:t>
            </w:r>
          </w:p>
        </w:tc>
      </w:tr>
    </w:tbl>
    <w:p w:rsidR="00E72018" w:rsidRPr="00297460" w:rsidRDefault="00E72018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296" w:rsidRPr="00297460" w:rsidRDefault="00DE6A06" w:rsidP="0029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463296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) викласти підпункти</w:t>
      </w:r>
      <w:r w:rsidR="000B7C22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4.1 «Капітальний ремонт ліфтів по вул. </w:t>
      </w:r>
      <w:proofErr w:type="spellStart"/>
      <w:r w:rsidR="000B7C22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Гостиннодвірська</w:t>
      </w:r>
      <w:proofErr w:type="spellEnd"/>
      <w:r w:rsidR="000B7C22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14А, під'їзди 1, 2 в м. Ромни Сумської області», 4.3 «Капітальний ремонт ліфтів по вул. П. Калнишевського, 34, під'їзди: 1, 2 в м. Ромни Сумської області», 4.8 «Капітальний ремонт ліфтів по </w:t>
      </w:r>
      <w:proofErr w:type="spellStart"/>
      <w:r w:rsidR="000B7C22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0B7C22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Свободи, 2, під'їзди: 1, 2, 3 в м. Ромни Сумської області», </w:t>
      </w:r>
      <w:r w:rsidR="00BF5C9D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4.9</w:t>
      </w:r>
      <w:r w:rsidR="000B7C22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F5C9D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0B7C22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ліфтів по вул. Гетьмана Мазепи, 51-А, під'їзди: 1, 2, 3 в м. Ромни Сумської області</w:t>
      </w:r>
      <w:r w:rsidR="00BF5C9D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0B7C22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4.10 </w:t>
      </w:r>
      <w:r w:rsidR="00BF5C9D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0B7C22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ліфта по вул. Соборна, 2 під’їзд 1 в м. Ромни Сумської області</w:t>
      </w:r>
      <w:r w:rsidR="00BF5C9D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463296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5380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пункту 4 «Забезпечення надійної та безперебійної експлуатації ліфтів» </w:t>
      </w:r>
      <w:r w:rsidR="00463296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розділу «Будівництво об'єктів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у наступній редакції:</w:t>
      </w:r>
    </w:p>
    <w:p w:rsidR="00463296" w:rsidRPr="0029746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8"/>
        <w:gridCol w:w="709"/>
        <w:gridCol w:w="709"/>
        <w:gridCol w:w="992"/>
        <w:gridCol w:w="851"/>
        <w:gridCol w:w="708"/>
        <w:gridCol w:w="1707"/>
      </w:tblGrid>
      <w:tr w:rsidR="00463296" w:rsidRPr="00297460" w:rsidTr="00C8538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63296" w:rsidRPr="00297460" w:rsidTr="00C8538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96" w:rsidRPr="00297460" w:rsidRDefault="00463296" w:rsidP="007B55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32059" w:rsidRPr="00297460" w:rsidTr="00932059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059" w:rsidRPr="00297460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59" w:rsidRPr="00297460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97460" w:rsidRDefault="00932059" w:rsidP="0093205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97460" w:rsidRDefault="00932059" w:rsidP="00932059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97460" w:rsidRDefault="00932059" w:rsidP="00932059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297460" w:rsidRDefault="00932059" w:rsidP="00932059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97460" w:rsidRDefault="00932059" w:rsidP="00932059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059" w:rsidRPr="00297460" w:rsidRDefault="00932059" w:rsidP="009320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059" w:rsidRPr="00297460" w:rsidRDefault="00932059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97460" w:rsidRPr="00297460" w:rsidTr="006C22AD">
        <w:trPr>
          <w:trHeight w:val="27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Забезпечення надійної та безперебійної експлуатації ліфтів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Капітальний ремонт ліфтів по вул.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Гостиннодвірська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14А, під'їзди 1, 2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0B7C22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:rsidR="00297460" w:rsidRPr="00297460" w:rsidRDefault="00297460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 –</w:t>
            </w:r>
          </w:p>
          <w:p w:rsidR="00297460" w:rsidRPr="00297460" w:rsidRDefault="00297460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  <w:p w:rsidR="00297460" w:rsidRPr="00297460" w:rsidRDefault="00297460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97460" w:rsidRPr="00297460" w:rsidRDefault="00297460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задовільного стану та безперебійної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екплуатації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ліфтів у житлових будинках</w:t>
            </w:r>
          </w:p>
        </w:tc>
      </w:tr>
      <w:tr w:rsidR="00297460" w:rsidRPr="00297460" w:rsidTr="00CB1233">
        <w:trPr>
          <w:trHeight w:val="17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60" w:rsidRPr="00297460" w:rsidRDefault="00297460" w:rsidP="00932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4.3. Капітальний </w:t>
            </w:r>
          </w:p>
          <w:p w:rsidR="00297460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ремонт ліфтів по вул. П. Калнишевського, 34,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0B7C22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460" w:rsidRPr="00297460" w:rsidTr="00297460">
        <w:trPr>
          <w:trHeight w:val="273"/>
        </w:trPr>
        <w:tc>
          <w:tcPr>
            <w:tcW w:w="9645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297460" w:rsidRPr="004A2279" w:rsidRDefault="00297460" w:rsidP="0029746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22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Продовження додатка</w:t>
            </w:r>
          </w:p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1F3F" w:rsidRPr="00297460" w:rsidTr="00297460">
        <w:trPr>
          <w:trHeight w:val="27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F3F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3F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3F" w:rsidRPr="00297460" w:rsidRDefault="00297460" w:rsidP="002974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3F" w:rsidRPr="00297460" w:rsidRDefault="00297460" w:rsidP="00297460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F3F" w:rsidRPr="00297460" w:rsidRDefault="00297460" w:rsidP="00297460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3F" w:rsidRPr="00297460" w:rsidRDefault="00297460" w:rsidP="00297460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F3F" w:rsidRPr="00297460" w:rsidRDefault="00297460" w:rsidP="00297460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3F" w:rsidRPr="00297460" w:rsidRDefault="00297460" w:rsidP="00297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F3F" w:rsidRPr="00297460" w:rsidRDefault="00297460" w:rsidP="00297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97460" w:rsidRPr="00297460" w:rsidTr="00463296">
        <w:trPr>
          <w:trHeight w:val="273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60" w:rsidRPr="00297460" w:rsidRDefault="00297460" w:rsidP="008E7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під'їзди: 1, 2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8E709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0B7C22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8E7099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460" w:rsidRPr="00297460" w:rsidTr="00463296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60" w:rsidRPr="00297460" w:rsidRDefault="00297460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4.8. Капітальний ремонт ліфтів по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Свободи, 2, під'їзди: 1, 2, 3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CB123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CB1233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986,9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CB1233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460" w:rsidRPr="00297460" w:rsidTr="00463296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60" w:rsidRPr="00297460" w:rsidRDefault="00297460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4.9. Капітальний ремонт ліфтів по вул. Гетьмана Мазепи, 51-А, під'їзди: 1, 2, 3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CB123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CB1233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CB1233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7460" w:rsidRPr="00297460" w:rsidTr="00463296">
        <w:trPr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460" w:rsidRPr="00297460" w:rsidRDefault="00297460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4.10. Капітальний ремонт ліфта по вул. Соборна, 2 під’їзд 1 в м. Ромни Сумської області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CB123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CB1233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CB1233">
            <w:pPr>
              <w:pStyle w:val="a8"/>
              <w:spacing w:before="0" w:after="0"/>
              <w:ind w:firstLine="0"/>
              <w:contextualSpacing/>
              <w:jc w:val="center"/>
              <w:rPr>
                <w:lang w:val="uk-UA" w:eastAsia="ru-RU"/>
              </w:rPr>
            </w:pPr>
            <w:r w:rsidRPr="00297460">
              <w:rPr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460" w:rsidRPr="00297460" w:rsidRDefault="00297460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460" w:rsidRPr="00297460" w:rsidRDefault="00297460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63296" w:rsidRPr="0029746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2279" w:rsidRPr="00297460" w:rsidRDefault="004A2279" w:rsidP="00297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8) доповнити пункт 1 «Забезпечення безперебійного функціонування водопровідно-каналізаційних мереж» розділу «Забезпечення належної та безперебійної роботи водопровідно-каналізаційного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наступним підпунктом:</w:t>
      </w:r>
    </w:p>
    <w:p w:rsidR="004A2279" w:rsidRPr="00297460" w:rsidRDefault="004A2279" w:rsidP="004A2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4A2279" w:rsidRPr="00297460" w:rsidTr="00CB1233">
        <w:tc>
          <w:tcPr>
            <w:tcW w:w="6771" w:type="dxa"/>
            <w:vMerge w:val="restart"/>
            <w:vAlign w:val="center"/>
          </w:tcPr>
          <w:p w:rsidR="004A2279" w:rsidRPr="00297460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4A2279" w:rsidRPr="00297460" w:rsidRDefault="004A2279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4A2279" w:rsidRPr="00297460" w:rsidTr="00CB1233">
        <w:trPr>
          <w:trHeight w:val="343"/>
        </w:trPr>
        <w:tc>
          <w:tcPr>
            <w:tcW w:w="6771" w:type="dxa"/>
            <w:vMerge/>
            <w:vAlign w:val="center"/>
          </w:tcPr>
          <w:p w:rsidR="004A2279" w:rsidRPr="00297460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A2279" w:rsidRPr="00297460" w:rsidRDefault="004A2279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</w:tr>
      <w:tr w:rsidR="004A2279" w:rsidRPr="00297460" w:rsidTr="00CB1233">
        <w:tc>
          <w:tcPr>
            <w:tcW w:w="6771" w:type="dxa"/>
          </w:tcPr>
          <w:p w:rsidR="004A2279" w:rsidRPr="00297460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1.29. Земляні роботи по поточному ремонту водопроводу по вул. Шевченка с. Бобрик</w:t>
            </w:r>
          </w:p>
        </w:tc>
        <w:tc>
          <w:tcPr>
            <w:tcW w:w="2693" w:type="dxa"/>
            <w:vAlign w:val="center"/>
          </w:tcPr>
          <w:p w:rsidR="004A2279" w:rsidRPr="00297460" w:rsidRDefault="004A2279" w:rsidP="00CB12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14,9</w:t>
            </w:r>
          </w:p>
        </w:tc>
      </w:tr>
    </w:tbl>
    <w:p w:rsidR="004A2279" w:rsidRPr="00297460" w:rsidRDefault="004A2279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2279" w:rsidRPr="00297460" w:rsidRDefault="004A2279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013B" w:rsidRPr="00297460" w:rsidRDefault="004A2279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9</w:t>
      </w:r>
      <w:r w:rsidR="00463296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доповнити пункт 1</w:t>
      </w:r>
      <w:r w:rsidR="00B65EF5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B65EF5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Утримання в належному стані об’єктів благоустрою та їх частин</w:t>
      </w:r>
      <w:r w:rsidR="00B7013B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розділу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наступними підпунктами:</w:t>
      </w:r>
    </w:p>
    <w:p w:rsidR="00B7013B" w:rsidRPr="00297460" w:rsidRDefault="00B7013B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B7013B" w:rsidRPr="00297460" w:rsidTr="00C85380">
        <w:tc>
          <w:tcPr>
            <w:tcW w:w="6771" w:type="dxa"/>
            <w:vMerge w:val="restart"/>
            <w:vAlign w:val="center"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B7013B" w:rsidRPr="00297460" w:rsidTr="00BB32D2">
        <w:trPr>
          <w:trHeight w:val="297"/>
        </w:trPr>
        <w:tc>
          <w:tcPr>
            <w:tcW w:w="6771" w:type="dxa"/>
            <w:vMerge/>
            <w:vAlign w:val="center"/>
          </w:tcPr>
          <w:p w:rsidR="00B7013B" w:rsidRPr="00297460" w:rsidRDefault="00B7013B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13B" w:rsidRPr="00297460" w:rsidRDefault="00B7013B" w:rsidP="007B55CE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</w:tr>
      <w:tr w:rsidR="00B7013B" w:rsidRPr="00297460" w:rsidTr="00C85380">
        <w:tc>
          <w:tcPr>
            <w:tcW w:w="6771" w:type="dxa"/>
          </w:tcPr>
          <w:p w:rsidR="00B7013B" w:rsidRPr="00297460" w:rsidRDefault="00B65EF5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12.4. Поточний ремонт об’єктів дорожньо-транспортної мережі (побілка)</w:t>
            </w:r>
          </w:p>
        </w:tc>
        <w:tc>
          <w:tcPr>
            <w:tcW w:w="2693" w:type="dxa"/>
            <w:vAlign w:val="center"/>
          </w:tcPr>
          <w:p w:rsidR="00B7013B" w:rsidRPr="00297460" w:rsidRDefault="00206B80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49,9</w:t>
            </w:r>
          </w:p>
        </w:tc>
      </w:tr>
      <w:tr w:rsidR="00B7013B" w:rsidRPr="00297460" w:rsidTr="00C85380">
        <w:tc>
          <w:tcPr>
            <w:tcW w:w="6771" w:type="dxa"/>
          </w:tcPr>
          <w:p w:rsidR="00B7013B" w:rsidRPr="00297460" w:rsidRDefault="00B65EF5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12.5. Поточний ремонт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колесовідбійних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брусів</w:t>
            </w:r>
          </w:p>
        </w:tc>
        <w:tc>
          <w:tcPr>
            <w:tcW w:w="2693" w:type="dxa"/>
            <w:vAlign w:val="center"/>
          </w:tcPr>
          <w:p w:rsidR="00B7013B" w:rsidRPr="00297460" w:rsidRDefault="00B65EF5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22,5</w:t>
            </w:r>
          </w:p>
        </w:tc>
      </w:tr>
      <w:tr w:rsidR="00FD69AE" w:rsidRPr="00297460" w:rsidTr="00C85380">
        <w:tc>
          <w:tcPr>
            <w:tcW w:w="6771" w:type="dxa"/>
          </w:tcPr>
          <w:p w:rsidR="00FD69AE" w:rsidRPr="00297460" w:rsidRDefault="00FD69AE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12.6. Поточний ремонт укріплення основи урн для сміття</w:t>
            </w:r>
          </w:p>
        </w:tc>
        <w:tc>
          <w:tcPr>
            <w:tcW w:w="2693" w:type="dxa"/>
            <w:vAlign w:val="center"/>
          </w:tcPr>
          <w:p w:rsidR="00FD69AE" w:rsidRPr="00297460" w:rsidRDefault="00FD69AE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</w:tr>
      <w:tr w:rsidR="001628FE" w:rsidRPr="00297460" w:rsidTr="00C85380">
        <w:tc>
          <w:tcPr>
            <w:tcW w:w="6771" w:type="dxa"/>
          </w:tcPr>
          <w:p w:rsidR="001628FE" w:rsidRPr="00297460" w:rsidRDefault="001628FE" w:rsidP="007B5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12.7. Поточний ремонт в'їзних стел "Ромни"</w:t>
            </w:r>
          </w:p>
        </w:tc>
        <w:tc>
          <w:tcPr>
            <w:tcW w:w="2693" w:type="dxa"/>
            <w:vAlign w:val="center"/>
          </w:tcPr>
          <w:p w:rsidR="001628FE" w:rsidRPr="00297460" w:rsidRDefault="001628FE" w:rsidP="007B55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59,7</w:t>
            </w:r>
          </w:p>
        </w:tc>
      </w:tr>
    </w:tbl>
    <w:p w:rsidR="00463296" w:rsidRPr="00297460" w:rsidRDefault="00463296" w:rsidP="007B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A2279" w:rsidRPr="00297460" w:rsidRDefault="004A2279" w:rsidP="004A2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10) доповнити пункт 3 «Проведення капітального ремонту об’єктів благоустрою міста» розділу «Будівництво об'єктів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наступним підпунктом:</w:t>
      </w:r>
    </w:p>
    <w:p w:rsidR="004A2279" w:rsidRPr="00297460" w:rsidRDefault="004A2279" w:rsidP="004A2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4A2279" w:rsidRPr="00297460" w:rsidTr="00CB1233">
        <w:tc>
          <w:tcPr>
            <w:tcW w:w="6771" w:type="dxa"/>
            <w:vMerge w:val="restart"/>
            <w:vAlign w:val="center"/>
          </w:tcPr>
          <w:p w:rsidR="004A2279" w:rsidRPr="00297460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4A2279" w:rsidRPr="00297460" w:rsidRDefault="004A2279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4A2279" w:rsidRPr="00297460" w:rsidTr="00CB1233">
        <w:trPr>
          <w:trHeight w:val="343"/>
        </w:trPr>
        <w:tc>
          <w:tcPr>
            <w:tcW w:w="6771" w:type="dxa"/>
            <w:vMerge/>
            <w:vAlign w:val="center"/>
          </w:tcPr>
          <w:p w:rsidR="004A2279" w:rsidRPr="00297460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A2279" w:rsidRPr="00297460" w:rsidRDefault="004A2279" w:rsidP="00CB1233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</w:tr>
      <w:tr w:rsidR="004A2279" w:rsidRPr="00297460" w:rsidTr="00CB1233">
        <w:tc>
          <w:tcPr>
            <w:tcW w:w="6771" w:type="dxa"/>
          </w:tcPr>
          <w:p w:rsidR="004A2279" w:rsidRPr="00297460" w:rsidRDefault="004A2279" w:rsidP="00CB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 Виготовлення кошторисної документації на капітальний ремонт доріг</w:t>
            </w:r>
          </w:p>
        </w:tc>
        <w:tc>
          <w:tcPr>
            <w:tcW w:w="2693" w:type="dxa"/>
            <w:vAlign w:val="center"/>
          </w:tcPr>
          <w:p w:rsidR="004A2279" w:rsidRPr="00297460" w:rsidRDefault="004A2279" w:rsidP="00CB12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100,0</w:t>
            </w:r>
          </w:p>
        </w:tc>
      </w:tr>
    </w:tbl>
    <w:p w:rsidR="006C22AD" w:rsidRPr="00297460" w:rsidRDefault="00DC6A67" w:rsidP="00DC6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 xml:space="preserve">  </w:t>
      </w:r>
      <w:r w:rsidR="004A2279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11) </w:t>
      </w:r>
      <w:r w:rsidR="006C22AD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доповнити пункт 1 «Забезпечення виконання наданих законодавством повноважень у сфері управління комунальною власністю» розділу «Керівництво і управління у відповідній сфері у містах (місті Києві), селищах, селах, об’єднаних територіальних громадах»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наступними підпунктами: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6C22AD" w:rsidRPr="00297460" w:rsidTr="006C22AD">
        <w:tc>
          <w:tcPr>
            <w:tcW w:w="6771" w:type="dxa"/>
            <w:vMerge w:val="restart"/>
            <w:vAlign w:val="center"/>
          </w:tcPr>
          <w:p w:rsidR="006C22AD" w:rsidRPr="00297460" w:rsidRDefault="006C22AD" w:rsidP="006C2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6C22AD" w:rsidRPr="00297460" w:rsidRDefault="006C22AD" w:rsidP="006C22A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6C22AD" w:rsidRPr="00297460" w:rsidTr="006C22AD">
        <w:trPr>
          <w:trHeight w:val="343"/>
        </w:trPr>
        <w:tc>
          <w:tcPr>
            <w:tcW w:w="6771" w:type="dxa"/>
            <w:vMerge/>
            <w:vAlign w:val="center"/>
          </w:tcPr>
          <w:p w:rsidR="006C22AD" w:rsidRPr="00297460" w:rsidRDefault="006C22AD" w:rsidP="006C2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6C22AD" w:rsidRPr="00297460" w:rsidRDefault="006C22AD" w:rsidP="006C22AD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2021 рік</w:t>
            </w:r>
          </w:p>
        </w:tc>
      </w:tr>
      <w:tr w:rsidR="006C22AD" w:rsidRPr="00297460" w:rsidTr="006C22AD">
        <w:tc>
          <w:tcPr>
            <w:tcW w:w="6771" w:type="dxa"/>
          </w:tcPr>
          <w:p w:rsidR="006C22AD" w:rsidRPr="00297460" w:rsidRDefault="006C22AD" w:rsidP="006C2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1.6. Поточний ремонт покрівлі нежитлової будівлі за адресою вул. Горького, 170 в м. Ромни</w:t>
            </w:r>
          </w:p>
        </w:tc>
        <w:tc>
          <w:tcPr>
            <w:tcW w:w="2693" w:type="dxa"/>
            <w:vAlign w:val="center"/>
          </w:tcPr>
          <w:p w:rsidR="006C22AD" w:rsidRPr="00297460" w:rsidRDefault="00144556" w:rsidP="006C2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</w:tr>
      <w:tr w:rsidR="006C22AD" w:rsidRPr="00297460" w:rsidTr="006C22AD">
        <w:tc>
          <w:tcPr>
            <w:tcW w:w="6771" w:type="dxa"/>
          </w:tcPr>
          <w:p w:rsidR="006C22AD" w:rsidRPr="00297460" w:rsidRDefault="00144556" w:rsidP="006C2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1.7. </w:t>
            </w:r>
            <w:r w:rsidR="006C22AD"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Поточний ремонт інженерних мереж нежитлової будівлі за адресою вул. Горького, 170 в м. Ромни</w:t>
            </w:r>
          </w:p>
        </w:tc>
        <w:tc>
          <w:tcPr>
            <w:tcW w:w="2693" w:type="dxa"/>
            <w:vAlign w:val="center"/>
          </w:tcPr>
          <w:p w:rsidR="006C22AD" w:rsidRPr="00297460" w:rsidRDefault="00144556" w:rsidP="006C2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28,0</w:t>
            </w:r>
          </w:p>
        </w:tc>
      </w:tr>
      <w:tr w:rsidR="006C22AD" w:rsidRPr="004E3690" w:rsidTr="006C22AD">
        <w:tc>
          <w:tcPr>
            <w:tcW w:w="6771" w:type="dxa"/>
          </w:tcPr>
          <w:p w:rsidR="006C22AD" w:rsidRPr="00297460" w:rsidRDefault="00144556" w:rsidP="006C2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1.8. </w:t>
            </w:r>
            <w:r w:rsidR="006C22AD"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Поточний ремонт окремих приміщень нежитлової будівлі за адресою вул. Горького, 170 в м. Ромни</w:t>
            </w:r>
          </w:p>
        </w:tc>
        <w:tc>
          <w:tcPr>
            <w:tcW w:w="2693" w:type="dxa"/>
            <w:vAlign w:val="center"/>
          </w:tcPr>
          <w:p w:rsidR="006C22AD" w:rsidRPr="00297460" w:rsidRDefault="00144556" w:rsidP="006C2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974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15,0</w:t>
            </w:r>
          </w:p>
        </w:tc>
      </w:tr>
    </w:tbl>
    <w:p w:rsidR="002C3192" w:rsidRDefault="002C3192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C6A67" w:rsidRPr="00DC6A67" w:rsidRDefault="00DC6A67" w:rsidP="00D7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6A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Олена ГРЕБЕНЮК </w:t>
      </w:r>
      <w:r w:rsidRPr="00DC6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846403">
        <w:rPr>
          <w:rFonts w:ascii="Times New Roman" w:eastAsia="Times New Roman" w:hAnsi="Times New Roman" w:cs="Times New Roman"/>
          <w:sz w:val="24"/>
          <w:szCs w:val="24"/>
          <w:lang w:val="uk-UA"/>
        </w:rPr>
        <w:t>в.о</w:t>
      </w:r>
      <w:proofErr w:type="spellEnd"/>
      <w:r w:rsidR="008464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DC6A67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</w:t>
      </w:r>
      <w:r w:rsidR="00846403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DC6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управління житлово-комунального господарства Роменської міської ради         </w:t>
      </w:r>
    </w:p>
    <w:p w:rsidR="00DC6A67" w:rsidRPr="00DC6A67" w:rsidRDefault="00DC6A67" w:rsidP="00D7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6A6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Пропозиції та зауваження</w:t>
      </w:r>
      <w:r w:rsidRPr="00DC6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приймаються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25.06.2021</w:t>
      </w:r>
      <w:r w:rsidRPr="00DC6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телефоном 5-43-02 або на електронну адресу zhk</w:t>
      </w:r>
      <w:hyperlink r:id="rId9" w:history="1">
        <w:r w:rsidRPr="00DC6A67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g@romny-vk.gov</w:t>
        </w:r>
      </w:hyperlink>
      <w:r w:rsidRPr="00DC6A67">
        <w:rPr>
          <w:rFonts w:ascii="Times New Roman" w:eastAsia="Times New Roman" w:hAnsi="Times New Roman" w:cs="Times New Roman"/>
          <w:sz w:val="24"/>
          <w:szCs w:val="24"/>
          <w:lang w:val="uk-UA"/>
        </w:rPr>
        <w:t>.ua</w:t>
      </w:r>
    </w:p>
    <w:p w:rsidR="00BB32D2" w:rsidRPr="006C22AD" w:rsidRDefault="00BB32D2" w:rsidP="00DC6A6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sectPr w:rsidR="00BB32D2" w:rsidRPr="006C22AD" w:rsidSect="004E3690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3690" w:rsidRPr="006C22AD" w:rsidRDefault="004E3690" w:rsidP="00DC6A6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E3690" w:rsidRPr="006C22AD" w:rsidRDefault="004E3690" w:rsidP="007B55C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 рішення Роменської міської ради</w:t>
      </w:r>
    </w:p>
    <w:p w:rsidR="004E3690" w:rsidRPr="006C22AD" w:rsidRDefault="004E3690" w:rsidP="007B55CE">
      <w:pPr>
        <w:tabs>
          <w:tab w:val="left" w:pos="396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802475" w:rsidRPr="006C22A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2020-2022 роки</w:t>
      </w:r>
      <w:r w:rsidRPr="006C22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», </w:t>
      </w:r>
    </w:p>
    <w:p w:rsidR="004E3690" w:rsidRPr="006C22AD" w:rsidRDefault="004E3690" w:rsidP="007B55CE">
      <w:pPr>
        <w:tabs>
          <w:tab w:val="left" w:pos="396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затвердженої рішенням міської ради від 29.11.2019</w:t>
      </w:r>
    </w:p>
    <w:p w:rsidR="004E3690" w:rsidRPr="006C22AD" w:rsidRDefault="004E3690" w:rsidP="007B55CE">
      <w:pPr>
        <w:tabs>
          <w:tab w:val="left" w:pos="396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E3690" w:rsidRPr="006C22AD" w:rsidRDefault="004E3690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Проект рішення міської ради розроблено з метою уточнення показників та заходів Програми реформування і розвитку житлово-комунального господарства </w:t>
      </w:r>
      <w:r w:rsidR="00BD49F7" w:rsidRPr="006C22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Роменської міської територіальної громади </w:t>
      </w:r>
      <w:r w:rsidRPr="006C22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 2020-2022 роки (далі – Програма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6C22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87851" w:rsidRPr="006C22AD" w:rsidRDefault="00287851" w:rsidP="002878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передбачає внесення таких змін і доповнень до Програми:</w:t>
      </w:r>
    </w:p>
    <w:p w:rsidR="00297460" w:rsidRPr="00297460" w:rsidRDefault="00297460" w:rsidP="00297460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974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ідпункт 3.1 «Придбання лічильників електроенергії та трансформаторів» пункт 1 «Забезпечення безперебійного постачання електроенергії місць загального користування в житлових будинках» розділ «Забезпечення надійної та безперебійної експлуатації житлового фонду та прибудинкових територій»: </w:t>
      </w:r>
    </w:p>
    <w:p w:rsidR="00297460" w:rsidRPr="006C22AD" w:rsidRDefault="00297460" w:rsidP="002974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9,2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297460" w:rsidRPr="006C22AD" w:rsidRDefault="00297460" w:rsidP="002974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Придбання лічильників електроенергії та трансформаторів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297460" w:rsidRPr="006C22AD" w:rsidRDefault="00297460" w:rsidP="002974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,2 тис. грн. </w:t>
      </w:r>
    </w:p>
    <w:p w:rsidR="00297460" w:rsidRPr="00297460" w:rsidRDefault="00297460" w:rsidP="00297460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ідпункт</w:t>
      </w:r>
      <w:r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3.2 «Поточний ремонт </w:t>
      </w:r>
      <w:proofErr w:type="spellStart"/>
      <w:r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внутрішньобудинкової</w:t>
      </w:r>
      <w:proofErr w:type="spellEnd"/>
      <w:r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електромережі загального користування (встановлення трансформаторів та лічильників електроенергії в житлових будинках)»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 1 «Забезпечення безперебійного постачання електроенергії місць загального користування в житлових будинках» розділ «Забезпечення надійної та безперебійної експлуатації житлового фонду та прибудинкових територій»: </w:t>
      </w:r>
    </w:p>
    <w:p w:rsidR="00297460" w:rsidRPr="006C22AD" w:rsidRDefault="00297460" w:rsidP="002974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2,8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297460" w:rsidRPr="006C22AD" w:rsidRDefault="00297460" w:rsidP="002974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Збільшені видатки на </w:t>
      </w:r>
      <w:r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Поточний ремонт </w:t>
      </w:r>
      <w:proofErr w:type="spellStart"/>
      <w:r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внутрішньобудинкової</w:t>
      </w:r>
      <w:proofErr w:type="spellEnd"/>
      <w:r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електромережі загального користування (встановлення трансформаторів та лічильників елек</w:t>
      </w:r>
      <w:r w:rsidR="00847D53">
        <w:rPr>
          <w:rFonts w:ascii="Times New Roman" w:eastAsia="Times New Roman" w:hAnsi="Times New Roman" w:cs="Times New Roman"/>
          <w:sz w:val="24"/>
          <w:szCs w:val="24"/>
          <w:lang w:val="uk-UA"/>
        </w:rPr>
        <w:t>троенергії в житлових будинках)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2,8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297460" w:rsidRPr="006C22AD" w:rsidRDefault="00297460" w:rsidP="002974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5,6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297460" w:rsidRDefault="004D676C" w:rsidP="00297460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847D5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847D53"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ідпункт 5.1 «Виготовлення документації на право власності гуртожитків та соціального житла» пункт 5 «Оформлення права власності на житлові приміщення» розділу «Забезпечення надійної та безперебійної експлуатації житлового фонду та прибудинкових територій»</w:t>
      </w:r>
      <w:r w:rsidR="00847D53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847D53" w:rsidRDefault="00847D53" w:rsidP="00297460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Змінена назва «</w:t>
      </w:r>
      <w:r w:rsidRPr="004A2279">
        <w:rPr>
          <w:rFonts w:ascii="Times New Roman" w:eastAsia="Times New Roman" w:hAnsi="Times New Roman" w:cs="Times New Roman"/>
          <w:sz w:val="24"/>
          <w:szCs w:val="24"/>
          <w:lang w:val="uk-UA"/>
        </w:rPr>
        <w:t>Виготовлення документації на право власності гуртожитків та соціального житла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 на «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Послуги із поточної інвентаризації та виготовлення </w:t>
      </w:r>
      <w:proofErr w:type="spellStart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техдокументації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». Орієнтовні обсяги фінансування за роками виконання залишилися без змін.</w:t>
      </w:r>
    </w:p>
    <w:p w:rsidR="00847D53" w:rsidRDefault="00847D53" w:rsidP="00297460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3. 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ідпункт 1.22 «Лабораторне дослідження питної води»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пункт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 «Забезпечення безперебійного функціонування водопровідно-каналізаційних мереж» розділ «Забезпечення належної та безперебійної роботи водопровідно-каналізаційного господарства»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847D53" w:rsidRPr="006C22AD" w:rsidRDefault="00847D53" w:rsidP="00847D5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28,0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847D53" w:rsidRPr="006C22AD" w:rsidRDefault="00847D53" w:rsidP="00847D5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Лабораторне дослідження питної води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28,0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847D53" w:rsidRPr="006C22AD" w:rsidRDefault="00847D53" w:rsidP="00847D5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847D53" w:rsidRDefault="00847D53" w:rsidP="00847D53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Підпункт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1.24 «Послуги медичних лабораторій» пункт 1 «Забезпечення безперебійного функціонування водопровідно-каналізаційних мереж</w:t>
      </w:r>
      <w:r w:rsidR="004C6504">
        <w:rPr>
          <w:rFonts w:ascii="Times New Roman" w:eastAsia="Times New Roman" w:hAnsi="Times New Roman" w:cs="Times New Roman"/>
          <w:sz w:val="24"/>
          <w:szCs w:val="24"/>
          <w:lang w:val="uk-UA"/>
        </w:rPr>
        <w:t>» розділ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«Забезпечення належної та безперебійної роботи водопровідно-каналізаційного господарства»</w:t>
      </w:r>
      <w:r w:rsidR="004C650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Послуги медичних лабораторій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847D53" w:rsidRDefault="004C6504" w:rsidP="00847D53">
      <w:pPr>
        <w:tabs>
          <w:tab w:val="left" w:pos="3969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</w:t>
      </w:r>
      <w:r w:rsidR="00847D53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1.25 «Поточний ремонт водопроводів» пункт 1 «Забезпечення безперебійного функціонування водопровідно-каналізаційних мереж» розділ «Забезпечення належної та безперебійної роботи водопровідно-каналізаційного господарства»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150,0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водопроводів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14,9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135,1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297460" w:rsidRDefault="004C6504" w:rsidP="00297460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 Підпункт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7.1 «Поточний (ямковий) ремонт дорожнього покриття» пункт «Забезпечення належного стану доріг та тротуарів міста для безпечного руху транспорту та пішоходів» розділу «Організація благоустрою населених пунктів»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1 500,0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(ямковий) ремонт дорожнього покриття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514,2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985,8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4C6504" w:rsidRDefault="004C6504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7.8 «Поточний середній ремонт автомобільних доріг» пункт «Забезпечення належного стану доріг та тротуарів міста для безпечного руху транспорту та пішоходів» розділ «Організація благоустрою населених пунктів»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2 558,0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середній ремонт автомобільних доріг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633,3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4C6504" w:rsidRPr="006C22AD" w:rsidRDefault="004C6504" w:rsidP="004C6504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1 924,7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4C6504" w:rsidRDefault="004C739F" w:rsidP="007B55CE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 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ідпункт 12.1 «Поточний ремонт об’єктів дорожньо-транспортної мережі (фарбування)»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пункт 12 «Утримання в належному стані об’єктів 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лагоустрою та їх частин» розділ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«Організація благоустрою населених пунктів»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C739F" w:rsidRPr="006C22AD" w:rsidRDefault="004C739F" w:rsidP="004C739F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102,0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4C739F" w:rsidRPr="006C22AD" w:rsidRDefault="004C739F" w:rsidP="004C739F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об’єктів дорожньо-т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ранспортної мережі (фарбування) 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17,0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4C739F" w:rsidRPr="006C22AD" w:rsidRDefault="004C739F" w:rsidP="004C739F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85,0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4C739F" w:rsidRDefault="004C739F" w:rsidP="004C739F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ідпункт 12.2 «Поточний ремонт малих архітектурних споруд» пункт 12 «Утримання в належному стані об’єктів 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лагоустрою та їх частин» розділ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«Організація благоустрою населених пунктів»</w:t>
      </w:r>
      <w:r w:rsidR="007D507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D5071" w:rsidRPr="006C22AD" w:rsidRDefault="007D5071" w:rsidP="007D507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49,0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7D5071" w:rsidRPr="006C22AD" w:rsidRDefault="007D5071" w:rsidP="007D507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малих архітектурних споруд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22,5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7D5071" w:rsidRPr="006C22AD" w:rsidRDefault="007D5071" w:rsidP="007D507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26,5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4C739F" w:rsidRDefault="004C739F" w:rsidP="004C739F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ідпункт 12.3 «Оцінка технічного стану мосту через річку </w:t>
      </w:r>
      <w:proofErr w:type="spellStart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Лозовка</w:t>
      </w:r>
      <w:proofErr w:type="spellEnd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вул. </w:t>
      </w:r>
      <w:proofErr w:type="spellStart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Дудіна</w:t>
      </w:r>
      <w:proofErr w:type="spellEnd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» пункт 12 «Утримання в належному стані об’єктів 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лагоустрою та їх частин» розділ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«Організація благоустрою населених пунктів»</w:t>
      </w:r>
      <w:r w:rsidR="007D5071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D5071" w:rsidRPr="006C22AD" w:rsidRDefault="007D5071" w:rsidP="007D507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50,0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7D5071" w:rsidRPr="006C22AD" w:rsidRDefault="007D5071" w:rsidP="007D507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Оцінк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технічного стану мосту через річку </w:t>
      </w:r>
      <w:proofErr w:type="spellStart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Лозовка</w:t>
      </w:r>
      <w:proofErr w:type="spellEnd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вул. </w:t>
      </w:r>
      <w:proofErr w:type="spellStart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Дудіна</w:t>
      </w:r>
      <w:proofErr w:type="spellEnd"/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13,6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7D5071" w:rsidRPr="006C22AD" w:rsidRDefault="007D5071" w:rsidP="007D507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36,4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7D5071" w:rsidRDefault="007D5071" w:rsidP="004C739F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6. 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ідпункт 20.1 «Аналіз води та дезінфекція колодязів громадського користування» пункт 20 «Забезпечення відповідності води в колодязях громадського користування нормам якості» розділ «Організація благоустрою населених пунктів»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D5071" w:rsidRPr="006C22AD" w:rsidRDefault="007D5071" w:rsidP="007D507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 програмі затверджене фінансування на 2021 рік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86,9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7D5071" w:rsidRPr="006C22AD" w:rsidRDefault="007D5071" w:rsidP="007D507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 води та дезінфекці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колодязів громадського користування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41,9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7D5071" w:rsidRPr="006C22AD" w:rsidRDefault="007D5071" w:rsidP="007D507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45,0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CB1233" w:rsidRDefault="007D5071" w:rsidP="004C739F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</w:t>
      </w:r>
      <w:r w:rsidR="00CB123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ідпункт 4.1 «Капітальний ремонт ліфтів по вул. </w:t>
      </w:r>
      <w:proofErr w:type="spellStart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Гостиннодвірська</w:t>
      </w:r>
      <w:proofErr w:type="spellEnd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, 14А, під'їзди 1, 2 в м. Ромни Сумської області»</w:t>
      </w:r>
      <w:r w:rsidR="00CB12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</w:t>
      </w:r>
      <w:r w:rsidR="00CB1233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 «Забезпечення надійної та безперебійної експлуатації ліфтів»</w:t>
      </w:r>
      <w:r w:rsidR="00CB12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</w:t>
      </w:r>
      <w:r w:rsidR="00CB1233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«Будівництво об'єктів житлово-комунального господарства»</w:t>
      </w:r>
      <w:r w:rsidR="00CB1233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CB1233" w:rsidRPr="006C22AD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ансування на 2021 рік в розмірі 7,9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CB1233" w:rsidRPr="006C22AD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Капітальний ремонт ліфтів по вул. </w:t>
      </w:r>
      <w:proofErr w:type="spellStart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Гостиннодвірська</w:t>
      </w:r>
      <w:proofErr w:type="spellEnd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, 14А, під'їзди 1, 2 в м. Ромни Сумської області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11,5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CB1233" w:rsidRPr="006C22AD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19,4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CB1233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</w:t>
      </w:r>
      <w:r w:rsidR="007D5071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4.3 «Капітальний ремонт ліфтів по вул. П. Калнишевського, 34, під'їзди: 1, 2 в м. Ромни Сумської області»</w:t>
      </w:r>
      <w:r w:rsidRPr="00CB12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пункт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 «Забезпечення надійної та безперебійної експлуатації ліфтів»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«Будівництво об'єктів житлово-комунального господарства»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CB1233" w:rsidRPr="006C22AD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ансування на 2021 рік в розмірі 113,2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CB1233" w:rsidRPr="006C22AD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Зменшені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ліфтів по вул. П. Калнишевського, 34, під'їзди: 1, 2 в м. Ромни Сумської області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15,4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CB1233" w:rsidRPr="006C22AD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97,8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CB1233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</w:t>
      </w:r>
      <w:r w:rsidR="007D5071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4.8 «Капітальний ремонт ліфтів по </w:t>
      </w:r>
      <w:proofErr w:type="spellStart"/>
      <w:r w:rsidR="007D5071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7D5071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. Свободи, 2, під'їзди: 1, 2,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 в м. Ромни Сумської області»</w:t>
      </w:r>
      <w:r w:rsidR="007D5071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пункт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 «Забезпечення надійної та безперебійної експлуатації ліфтів»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«Будівництво об'єктів житлово-комунального господарства»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CB1233" w:rsidRPr="006C22AD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ансування на 2021 рік в розмірі 11,9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CB1233" w:rsidRPr="006C22AD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Капітальний ремонт ліфтів по </w:t>
      </w:r>
      <w:proofErr w:type="spellStart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. Свободи, 2, під'їзди: 1, 2,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 в м. Ромни Сумської області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975,0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CB1233" w:rsidRPr="006C22AD" w:rsidRDefault="00CB1233" w:rsidP="00CB1233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 w:rsidR="00741351">
        <w:rPr>
          <w:rFonts w:ascii="Times New Roman" w:eastAsia="Times New Roman" w:hAnsi="Times New Roman" w:cs="Times New Roman"/>
          <w:sz w:val="24"/>
          <w:szCs w:val="24"/>
          <w:lang w:val="uk-UA"/>
        </w:rPr>
        <w:t>986,9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741351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Підпункт </w:t>
      </w:r>
      <w:r w:rsidR="007D5071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4.9 «Капітальний ремонт ліфтів по вул. Гетьмана Мазепи, 51-А, під'їзди: 1, 2, 3 в м. Ромни Сумської області»</w:t>
      </w:r>
      <w:r w:rsidRPr="007413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пункт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 «Забезпечення надійної та безперебійної експлуатації ліфтів»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«Будівництво об'єктів житлово-комунального господарства»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41351" w:rsidRPr="006C22AD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ансування на 2021 рік в розмірі 11,9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741351" w:rsidRPr="006C22AD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ліфтів по вул. Гетьмана Мазепи, 51-А, під'їзди: 1, 2, 3 в м. Ромни Сумської області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741351" w:rsidRPr="006C22AD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26,9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741351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Підпункт</w:t>
      </w:r>
      <w:r w:rsidR="007D5071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4.10 «Капітальний ремонт ліфта по вул. Соборна, 2 під’їзд 1 в 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Ромни Сумської області» пункт</w:t>
      </w:r>
      <w:r w:rsidR="007D5071"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 «Забезпечення надійної та безперебійної експлуатації ліфтів»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розділ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«Будівництво об'єктів житлово-комунального господарства»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741351" w:rsidRPr="006C22AD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>По програмі затверджене фін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ансування на 2021 рік в розмірі 4,0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741351" w:rsidRPr="006C22AD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Збільшені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видатки на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Капітальний ремонт ліфта по вул. Соборна, 2 під’їзд 1 в 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Ромни Сумської області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суму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7,5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741351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Фінансування на 2021 рік зі змінами становитиме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11,5</w:t>
      </w:r>
      <w:r w:rsidRPr="006C22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</w:t>
      </w:r>
    </w:p>
    <w:p w:rsidR="00741351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8. 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 1 «Забезпечення безперебійного функціонування водопровідно-каналізаційних мереж» розділу «Забезпечення належної та безперебійної роботи водопровідно-каналізаційного господарства» додатку «Перелік завдань і заходів Програми реформування і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розвитку житлово-комунального господарства Роменської міської територіальної громади на 2020-22 роки»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доповнено наступним підпунктом:</w:t>
      </w:r>
    </w:p>
    <w:p w:rsidR="00741351" w:rsidRDefault="00741351" w:rsidP="00741351">
      <w:pPr>
        <w:tabs>
          <w:tab w:val="left" w:pos="3969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1.29. Земляні роботи по поточному ремонту водопроводу по вул. Шевченка с. Бобрик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орієнтовний обсяг фінансування на 2021 рік становить 14,9 тис. грн.»</w:t>
      </w:r>
    </w:p>
    <w:p w:rsidR="00741351" w:rsidRDefault="00741351" w:rsidP="00741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9. 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 12 «Утримання в належному стані об’єктів благоустрою та їх частин» розділу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доповнено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наступними підпунктами:</w:t>
      </w:r>
    </w:p>
    <w:p w:rsidR="00741351" w:rsidRDefault="00741351" w:rsidP="00741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12.4. Поточний ремонт об’єктів дорожньо-транспортної мережі (побілка)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413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орієнтовний обсяг фінансування на 2021 рік становить 49,9 тис. грн.,</w:t>
      </w:r>
    </w:p>
    <w:p w:rsidR="00741351" w:rsidRDefault="00741351" w:rsidP="00741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12.5. Поточний ремонт </w:t>
      </w:r>
      <w:proofErr w:type="spellStart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колесовідбійних</w:t>
      </w:r>
      <w:proofErr w:type="spellEnd"/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брусів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орієнтовний обсяг фінансування на 2021 рік становить 22,5 тис. грн.,</w:t>
      </w:r>
    </w:p>
    <w:p w:rsidR="00741351" w:rsidRDefault="00741351" w:rsidP="00741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12.6. Поточний ремонт укріплення основи урн для сміття</w:t>
      </w:r>
      <w:r w:rsidR="00500ED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413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орієнтовний обсяг фінанс</w:t>
      </w:r>
      <w:r w:rsidR="00500EDB">
        <w:rPr>
          <w:rFonts w:ascii="Times New Roman" w:eastAsia="Times New Roman" w:hAnsi="Times New Roman" w:cs="Times New Roman"/>
          <w:sz w:val="24"/>
          <w:szCs w:val="24"/>
          <w:lang w:val="uk-UA"/>
        </w:rPr>
        <w:t>ування на 2021 рік становить 5,0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  <w:r w:rsidR="00500ED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500EDB" w:rsidRDefault="00500EDB" w:rsidP="00741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12.7. Поточний ремонт в'їзних стел "Ромни"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орієнтовний обсяг фінансування на 2021 рік становить 59,7 тис. грн.».</w:t>
      </w:r>
    </w:p>
    <w:p w:rsidR="00500EDB" w:rsidRDefault="00500EDB" w:rsidP="0050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10. 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 3 «Проведення капітального ремонту об’єктів благоустрою міста» розділу «Будівництво об'єктів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доповнено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наступним підпунктом:</w:t>
      </w:r>
    </w:p>
    <w:p w:rsidR="00500EDB" w:rsidRDefault="00500EDB" w:rsidP="0050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3.2. Виготовлення кошторисної документації на капітальний ремонт доріг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орієнтовний обсяг фінансування на 2021 рік становить 100,0 тис. грн.».</w:t>
      </w:r>
    </w:p>
    <w:p w:rsidR="00500EDB" w:rsidRDefault="00500EDB" w:rsidP="0050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11. П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 1 «Забезпечення виконання наданих законодавством повноважень у сфері управління комунальною власністю» розділу «Керівництво і управління у відповідній сфері у містах (місті Києві), селищах, селах, об’єднаних територіальних громадах»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2020-22 роки»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доповнено 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наступними підпунктами:</w:t>
      </w:r>
    </w:p>
    <w:p w:rsidR="00500EDB" w:rsidRDefault="00500EDB" w:rsidP="0050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1.6. Поточний ремонт покрівлі нежитлової будівлі за адресою вул. Горького, 170 в м. Ромни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орієнтовний обсяг фінансування на 2021 рік становить 5,0 тис. грн.»,</w:t>
      </w:r>
    </w:p>
    <w:p w:rsidR="00500EDB" w:rsidRDefault="00500EDB" w:rsidP="0050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1.7. Поточний ремонт інженерних мереж нежитлової будівлі за адресою вул. Горького, 170 в м. Ромни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орієнтовний обсяг фінансування на 2021 рік становить 28,0 тис. грн.»,</w:t>
      </w:r>
    </w:p>
    <w:p w:rsidR="00500EDB" w:rsidRPr="00297460" w:rsidRDefault="00500EDB" w:rsidP="0050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7460">
        <w:rPr>
          <w:rFonts w:ascii="Times New Roman" w:eastAsia="Times New Roman" w:hAnsi="Times New Roman" w:cs="Times New Roman"/>
          <w:sz w:val="24"/>
          <w:szCs w:val="24"/>
          <w:lang w:val="uk-UA"/>
        </w:rPr>
        <w:t>1.8. Поточний ремонт окремих приміщень нежитлової будівлі за адресою вул. Горького, 170 в м. Ромни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орієнтовний обсяг фінансування на 2021 рік становить 15,0 тис. грн.».</w:t>
      </w:r>
    </w:p>
    <w:p w:rsidR="00500EDB" w:rsidRDefault="00500EDB" w:rsidP="0050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319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Загальний обсяг фінансових ресурсів, необхідних для реалізації Програми,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 змінився і становить 79 873,2 тис. грн.</w:t>
      </w:r>
    </w:p>
    <w:p w:rsidR="00500EDB" w:rsidRDefault="00500EDB" w:rsidP="0050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3192">
        <w:rPr>
          <w:rFonts w:ascii="Times New Roman" w:eastAsia="Times New Roman" w:hAnsi="Times New Roman" w:cs="Times New Roman"/>
          <w:sz w:val="24"/>
          <w:szCs w:val="24"/>
          <w:lang w:val="uk-UA"/>
        </w:rPr>
        <w:t>Обсяг коштів, які планується залучити на виконання програми у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 році, не змінився і становить 30 190,8 тис. грн.</w:t>
      </w:r>
    </w:p>
    <w:p w:rsidR="00500EDB" w:rsidRDefault="00500EDB" w:rsidP="00500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0EDB" w:rsidRPr="004E3690" w:rsidRDefault="00500EDB" w:rsidP="00500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н</w:t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управління </w:t>
      </w:r>
    </w:p>
    <w:p w:rsidR="00500EDB" w:rsidRPr="004E3690" w:rsidRDefault="00500EDB" w:rsidP="00500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500EDB" w:rsidRPr="004E3690" w:rsidRDefault="00500EDB" w:rsidP="00500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Олена ГРЕБЕНЮК</w:t>
      </w:r>
    </w:p>
    <w:p w:rsidR="00500EDB" w:rsidRPr="004E3690" w:rsidRDefault="00500EDB" w:rsidP="00500E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00EDB" w:rsidRPr="004E3690" w:rsidRDefault="00500EDB" w:rsidP="00500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Погоджено</w:t>
      </w:r>
    </w:p>
    <w:p w:rsidR="00741351" w:rsidRPr="00500EDB" w:rsidRDefault="00500EDB" w:rsidP="00500E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Заступник міського голови                               </w:t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E36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Владислав СУХОДОЛЬСЬКИЙ</w:t>
      </w:r>
    </w:p>
    <w:sectPr w:rsidR="00741351" w:rsidRPr="00500EDB" w:rsidSect="002C3192">
      <w:pgSz w:w="11906" w:h="16838"/>
      <w:pgMar w:top="1134" w:right="56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83" w:rsidRDefault="001B3083" w:rsidP="009534FE">
      <w:pPr>
        <w:spacing w:after="0" w:line="240" w:lineRule="auto"/>
      </w:pPr>
      <w:r>
        <w:separator/>
      </w:r>
    </w:p>
  </w:endnote>
  <w:endnote w:type="continuationSeparator" w:id="0">
    <w:p w:rsidR="001B3083" w:rsidRDefault="001B3083" w:rsidP="0095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83" w:rsidRDefault="001B3083" w:rsidP="009534FE">
      <w:pPr>
        <w:spacing w:after="0" w:line="240" w:lineRule="auto"/>
      </w:pPr>
      <w:r>
        <w:separator/>
      </w:r>
    </w:p>
  </w:footnote>
  <w:footnote w:type="continuationSeparator" w:id="0">
    <w:p w:rsidR="001B3083" w:rsidRDefault="001B3083" w:rsidP="0095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33" w:rsidRPr="000B1C45" w:rsidRDefault="00CB1233">
    <w:pPr>
      <w:pStyle w:val="a3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1E4A"/>
    <w:multiLevelType w:val="hybridMultilevel"/>
    <w:tmpl w:val="138E9D0C"/>
    <w:lvl w:ilvl="0" w:tplc="9DE26BF6">
      <w:start w:val="1"/>
      <w:numFmt w:val="decimal"/>
      <w:lvlText w:val="%1."/>
      <w:lvlJc w:val="left"/>
      <w:pPr>
        <w:ind w:left="1130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90"/>
    <w:rsid w:val="00061368"/>
    <w:rsid w:val="00067AFE"/>
    <w:rsid w:val="000824D5"/>
    <w:rsid w:val="000A02D1"/>
    <w:rsid w:val="000B7C22"/>
    <w:rsid w:val="000B7DB3"/>
    <w:rsid w:val="000E6D3C"/>
    <w:rsid w:val="001408CA"/>
    <w:rsid w:val="00144556"/>
    <w:rsid w:val="00162551"/>
    <w:rsid w:val="001628FE"/>
    <w:rsid w:val="001A659A"/>
    <w:rsid w:val="001B3083"/>
    <w:rsid w:val="001C5E8F"/>
    <w:rsid w:val="00206B80"/>
    <w:rsid w:val="00287851"/>
    <w:rsid w:val="00297460"/>
    <w:rsid w:val="002A0656"/>
    <w:rsid w:val="002C1863"/>
    <w:rsid w:val="002C3192"/>
    <w:rsid w:val="00324089"/>
    <w:rsid w:val="00343A3B"/>
    <w:rsid w:val="00463296"/>
    <w:rsid w:val="004748E0"/>
    <w:rsid w:val="004867E7"/>
    <w:rsid w:val="004942DE"/>
    <w:rsid w:val="004A2279"/>
    <w:rsid w:val="004C6504"/>
    <w:rsid w:val="004C739F"/>
    <w:rsid w:val="004D676C"/>
    <w:rsid w:val="004E3690"/>
    <w:rsid w:val="004E40FB"/>
    <w:rsid w:val="00500EDB"/>
    <w:rsid w:val="00537DB4"/>
    <w:rsid w:val="005B54AE"/>
    <w:rsid w:val="005C2E0D"/>
    <w:rsid w:val="005D2FC5"/>
    <w:rsid w:val="00683E32"/>
    <w:rsid w:val="006A1BD9"/>
    <w:rsid w:val="006B0B05"/>
    <w:rsid w:val="006C22AD"/>
    <w:rsid w:val="006F61DC"/>
    <w:rsid w:val="00741351"/>
    <w:rsid w:val="00780C24"/>
    <w:rsid w:val="007B55CE"/>
    <w:rsid w:val="007B7C8B"/>
    <w:rsid w:val="007D5071"/>
    <w:rsid w:val="00802475"/>
    <w:rsid w:val="00812D4D"/>
    <w:rsid w:val="00826297"/>
    <w:rsid w:val="008269A1"/>
    <w:rsid w:val="00832918"/>
    <w:rsid w:val="00846403"/>
    <w:rsid w:val="00847D53"/>
    <w:rsid w:val="00887F14"/>
    <w:rsid w:val="008E7099"/>
    <w:rsid w:val="00906D44"/>
    <w:rsid w:val="00932059"/>
    <w:rsid w:val="009534FE"/>
    <w:rsid w:val="009708A1"/>
    <w:rsid w:val="00997A9F"/>
    <w:rsid w:val="009B098A"/>
    <w:rsid w:val="00A77561"/>
    <w:rsid w:val="00A945D1"/>
    <w:rsid w:val="00AA2F34"/>
    <w:rsid w:val="00AB6EF6"/>
    <w:rsid w:val="00B06CE2"/>
    <w:rsid w:val="00B41BCD"/>
    <w:rsid w:val="00B65EF5"/>
    <w:rsid w:val="00B66F1B"/>
    <w:rsid w:val="00B7013B"/>
    <w:rsid w:val="00B943F1"/>
    <w:rsid w:val="00BB32D2"/>
    <w:rsid w:val="00BD49F7"/>
    <w:rsid w:val="00BF5C9D"/>
    <w:rsid w:val="00C72721"/>
    <w:rsid w:val="00C80B60"/>
    <w:rsid w:val="00C85380"/>
    <w:rsid w:val="00CA1F3F"/>
    <w:rsid w:val="00CB1233"/>
    <w:rsid w:val="00CE0523"/>
    <w:rsid w:val="00D4292C"/>
    <w:rsid w:val="00D756A5"/>
    <w:rsid w:val="00DC6A67"/>
    <w:rsid w:val="00DE3D2F"/>
    <w:rsid w:val="00DE6A06"/>
    <w:rsid w:val="00E0039F"/>
    <w:rsid w:val="00E72018"/>
    <w:rsid w:val="00ED1509"/>
    <w:rsid w:val="00EE1684"/>
    <w:rsid w:val="00EE36E3"/>
    <w:rsid w:val="00F363A1"/>
    <w:rsid w:val="00F67AB3"/>
    <w:rsid w:val="00FC37A0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4E369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6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43F1"/>
    <w:pPr>
      <w:ind w:left="720"/>
      <w:contextualSpacing/>
    </w:pPr>
  </w:style>
  <w:style w:type="paragraph" w:styleId="a8">
    <w:name w:val="Normal (Web)"/>
    <w:aliases w:val="Обычный (Web)"/>
    <w:basedOn w:val="a"/>
    <w:uiPriority w:val="99"/>
    <w:rsid w:val="00B7013B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DC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8150-B4B7-432D-96E7-CEE2E3A0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11</Pages>
  <Words>3788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cp:lastPrinted>2021-05-07T11:51:00Z</cp:lastPrinted>
  <dcterms:created xsi:type="dcterms:W3CDTF">2021-01-20T06:18:00Z</dcterms:created>
  <dcterms:modified xsi:type="dcterms:W3CDTF">2021-05-11T06:57:00Z</dcterms:modified>
</cp:coreProperties>
</file>