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55429" w:rsidRPr="00055429" w:rsidRDefault="00055429" w:rsidP="00055429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55429" w:rsidRPr="006E362C" w:rsidRDefault="00055429" w:rsidP="0005542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055429" w:rsidRPr="00055429" w:rsidTr="00AA3F5B">
        <w:tc>
          <w:tcPr>
            <w:tcW w:w="3284" w:type="dxa"/>
          </w:tcPr>
          <w:p w:rsidR="00055429" w:rsidRPr="00055429" w:rsidRDefault="00F46E9C" w:rsidP="000554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20.01</w:t>
            </w:r>
            <w:r w:rsidR="00055429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85" w:type="dxa"/>
          </w:tcPr>
          <w:p w:rsidR="00055429" w:rsidRPr="00055429" w:rsidRDefault="00055429" w:rsidP="000554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055429" w:rsidRPr="00CF680D" w:rsidRDefault="00055429" w:rsidP="00CA474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F680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CA474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F47FA0" w:rsidRPr="006E362C" w:rsidRDefault="00F47FA0" w:rsidP="00C63F0F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7C7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</w:t>
            </w:r>
            <w:r w:rsidR="008D55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Ільїнський ярмарок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6E362C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800BB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</w:t>
      </w:r>
      <w:r w:rsidR="00967B8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967B87" w:rsidRPr="0018211F">
        <w:rPr>
          <w:rFonts w:ascii="Times New Roman" w:hAnsi="Times New Roman" w:cs="Times New Roman"/>
          <w:sz w:val="24"/>
          <w:szCs w:val="24"/>
          <w:lang w:val="uk-UA"/>
        </w:rPr>
        <w:t>17.12.2019,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47B3A" w:rsidRDefault="000D77E9" w:rsidP="009441E2">
      <w:pPr>
        <w:spacing w:before="120"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="008D55CD">
        <w:rPr>
          <w:rFonts w:ascii="Times New Roman" w:hAnsi="Times New Roman" w:cs="Times New Roman"/>
          <w:sz w:val="24"/>
          <w:szCs w:val="24"/>
          <w:lang w:val="uk-UA"/>
        </w:rPr>
        <w:t>Ільїнський ярмарок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 –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18211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КЕКВ</w:t>
      </w:r>
      <w:r w:rsidR="0018211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 xml:space="preserve"> 2610 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Субсидії  та  поточні  трансферти  підприємствам,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 xml:space="preserve">установам, організаціям»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 xml:space="preserve">згідно з оцінкою відповідності показників діяльності підприємства критеріям визначення одержувача бюджетних коштів (додаток 1) </w:t>
      </w:r>
      <w:r w:rsidR="00F46E9C">
        <w:rPr>
          <w:rFonts w:ascii="Times New Roman" w:hAnsi="Times New Roman" w:cs="Times New Roman"/>
          <w:sz w:val="24"/>
          <w:szCs w:val="24"/>
          <w:lang w:val="uk-UA"/>
        </w:rPr>
        <w:t>по заходах</w:t>
      </w:r>
      <w:r w:rsidR="00247B3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47B3A" w:rsidRPr="009441E2" w:rsidRDefault="00247B3A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прибирання сміття з урн та збирання окремих предметів в Міському парку культури і відпочинку ім. Т.Г. Шевченка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суму 206 2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01,70 грн (</w:t>
      </w:r>
      <w:r w:rsidR="00217535" w:rsidRPr="009441E2">
        <w:rPr>
          <w:rFonts w:ascii="Times New Roman" w:hAnsi="Times New Roman" w:cs="Times New Roman"/>
          <w:sz w:val="24"/>
          <w:szCs w:val="24"/>
          <w:lang w:val="uk-UA"/>
        </w:rPr>
        <w:t>двісті шість тисяч д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вісті одна гривня 70 копійок);</w:t>
      </w:r>
    </w:p>
    <w:p w:rsidR="00247B3A" w:rsidRPr="009441E2" w:rsidRDefault="00247B3A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підмітання території в Міському парку культури і відпочинку ім. Т.Г. Шевченка – на суму  267 697, 98 грн (двісті шістдесят сім тисяч шістсот дев’яносто сім гривень 98 копійок);</w:t>
      </w:r>
    </w:p>
    <w:p w:rsidR="00BE45F2" w:rsidRPr="009441E2" w:rsidRDefault="00BE45F2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очищення території від снігу та сколювання льоду в Міському парку культури і відпочинку ім. Т.Г. Шевченка – на суму 74 334, 38 грн (сімдесят чотири тисячі триста тридцять чотири гривні 38 копійок);</w:t>
      </w:r>
    </w:p>
    <w:p w:rsidR="00BE45F2" w:rsidRPr="009441E2" w:rsidRDefault="00BE45F2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покіс трави в Міському парку культури і відпочинку</w:t>
      </w:r>
      <w:r w:rsidR="004D46D4"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 ім. Т.Г. Шевченка – на суму 24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8 003, 85 грн (двісті </w:t>
      </w:r>
      <w:r w:rsidR="004D46D4" w:rsidRPr="009441E2">
        <w:rPr>
          <w:rFonts w:ascii="Times New Roman" w:hAnsi="Times New Roman" w:cs="Times New Roman"/>
          <w:sz w:val="24"/>
          <w:szCs w:val="24"/>
          <w:lang w:val="uk-UA"/>
        </w:rPr>
        <w:t xml:space="preserve">сорок </w:t>
      </w:r>
      <w:r w:rsidRPr="009441E2">
        <w:rPr>
          <w:rFonts w:ascii="Times New Roman" w:hAnsi="Times New Roman" w:cs="Times New Roman"/>
          <w:sz w:val="24"/>
          <w:szCs w:val="24"/>
          <w:lang w:val="uk-UA"/>
        </w:rPr>
        <w:t>вісім тисяч три гривні 85 копійок);</w:t>
      </w:r>
    </w:p>
    <w:p w:rsidR="004B1F54" w:rsidRPr="009441E2" w:rsidRDefault="004B1F54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утримання клумб та оббивка бордюрів в Міському парку культури і відпочинку ім. Т.Г. Шевченка – на суму 62 586, 70 грн ( шістдесят дві тисячі п’ятсот вісімдесят шість гривень 70 копійок);</w:t>
      </w:r>
    </w:p>
    <w:p w:rsidR="004B1F54" w:rsidRPr="009441E2" w:rsidRDefault="004B1F54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1E2">
        <w:rPr>
          <w:rFonts w:ascii="Times New Roman" w:hAnsi="Times New Roman" w:cs="Times New Roman"/>
          <w:sz w:val="24"/>
          <w:szCs w:val="24"/>
          <w:lang w:val="uk-UA"/>
        </w:rPr>
        <w:t>підрізка дерев в Міському парку культури і відпочинку ім. Т.Г. Шевченка – на суму 21 175, 39 грн ( двадцять одна тисяча сто сімдесят п’</w:t>
      </w:r>
      <w:r w:rsidR="00217535" w:rsidRPr="009441E2">
        <w:rPr>
          <w:rFonts w:ascii="Times New Roman" w:hAnsi="Times New Roman" w:cs="Times New Roman"/>
          <w:sz w:val="24"/>
          <w:szCs w:val="24"/>
        </w:rPr>
        <w:t>ять гривень 39 копійок)</w:t>
      </w:r>
      <w:r w:rsidR="004D46D4" w:rsidRPr="009441E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17535" w:rsidRPr="009441E2" w:rsidRDefault="00F23216" w:rsidP="009441E2">
      <w:pPr>
        <w:pStyle w:val="af"/>
        <w:numPr>
          <w:ilvl w:val="0"/>
          <w:numId w:val="8"/>
        </w:numPr>
        <w:spacing w:before="120"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розробка прое</w:t>
      </w:r>
      <w:r w:rsidR="007E24D0" w:rsidRPr="009441E2">
        <w:rPr>
          <w:rFonts w:ascii="Times New Roman" w:hAnsi="Times New Roman" w:cs="Times New Roman"/>
          <w:sz w:val="24"/>
          <w:szCs w:val="24"/>
          <w:lang w:val="uk-UA"/>
        </w:rPr>
        <w:t>кту землеустрою щодо організації та встановлення меж території об’</w:t>
      </w:r>
      <w:r w:rsidR="007E24D0" w:rsidRPr="009441E2">
        <w:rPr>
          <w:rFonts w:ascii="Times New Roman" w:hAnsi="Times New Roman" w:cs="Times New Roman"/>
          <w:sz w:val="24"/>
          <w:szCs w:val="24"/>
        </w:rPr>
        <w:t>єкта при</w:t>
      </w:r>
      <w:r>
        <w:rPr>
          <w:rFonts w:ascii="Times New Roman" w:hAnsi="Times New Roman" w:cs="Times New Roman"/>
          <w:sz w:val="24"/>
          <w:szCs w:val="24"/>
        </w:rPr>
        <w:t>родн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E24D0" w:rsidRPr="009441E2">
        <w:rPr>
          <w:rFonts w:ascii="Times New Roman" w:hAnsi="Times New Roman" w:cs="Times New Roman"/>
          <w:sz w:val="24"/>
          <w:szCs w:val="24"/>
        </w:rPr>
        <w:t xml:space="preserve">заповідного </w:t>
      </w:r>
      <w:r w:rsidR="007E24D0" w:rsidRPr="009441E2">
        <w:rPr>
          <w:rFonts w:ascii="Times New Roman" w:hAnsi="Times New Roman" w:cs="Times New Roman"/>
          <w:sz w:val="24"/>
          <w:szCs w:val="24"/>
          <w:lang w:val="uk-UA"/>
        </w:rPr>
        <w:t>фонду – Міського парку культури і відпочинку ім. Т.Г. Шевченка – на суму 20 000, 00 грн ( двадцять тисяч гривень 00 копійок)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F75030" w:rsidRDefault="000D77E9" w:rsidP="0036752D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6E362C">
        <w:rPr>
          <w:rFonts w:ascii="Times New Roman" w:hAnsi="Times New Roman" w:cs="Times New Roman"/>
          <w:sz w:val="24"/>
          <w:szCs w:val="24"/>
        </w:rPr>
        <w:t>використання коштів на виконання у 20</w:t>
      </w:r>
      <w:r w:rsidR="00B42968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E362C" w:rsidRPr="006E362C">
        <w:rPr>
          <w:rFonts w:ascii="Times New Roman" w:hAnsi="Times New Roman" w:cs="Times New Roman"/>
          <w:sz w:val="24"/>
          <w:szCs w:val="24"/>
        </w:rPr>
        <w:t xml:space="preserve"> році заходів</w:t>
      </w:r>
      <w:r w:rsidR="00F232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52D" w:rsidRPr="00F47FA0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6752D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 xml:space="preserve">Міського парку культури та відпочинку ім. Т.Г. Шевченка на 2020-2023 роки </w:t>
      </w:r>
      <w:r w:rsidR="009441E2">
        <w:rPr>
          <w:rFonts w:ascii="Times New Roman" w:hAnsi="Times New Roman" w:cs="Times New Roman"/>
          <w:sz w:val="24"/>
          <w:szCs w:val="24"/>
          <w:lang w:val="uk-UA"/>
        </w:rPr>
        <w:t>(д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одаток 2). </w:t>
      </w:r>
    </w:p>
    <w:p w:rsidR="006E362C" w:rsidRPr="006E362C" w:rsidRDefault="006E362C" w:rsidP="000D77E9">
      <w:pPr>
        <w:rPr>
          <w:rFonts w:ascii="Times New Roman" w:hAnsi="Times New Roman" w:cs="Times New Roman"/>
          <w:b/>
          <w:sz w:val="24"/>
          <w:szCs w:val="24"/>
        </w:rPr>
      </w:pPr>
    </w:p>
    <w:p w:rsidR="000D77E9" w:rsidRPr="00F47FA0" w:rsidRDefault="007101E9" w:rsidP="000D77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E36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232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B42968">
        <w:rPr>
          <w:rFonts w:ascii="Times New Roman" w:hAnsi="Times New Roman" w:cs="Times New Roman"/>
          <w:b/>
          <w:sz w:val="24"/>
          <w:szCs w:val="24"/>
          <w:lang w:val="uk-UA"/>
        </w:rPr>
        <w:t>Олег СТОГНІЙ</w:t>
      </w:r>
    </w:p>
    <w:p w:rsidR="007101E9" w:rsidRPr="00F47FA0" w:rsidRDefault="007101E9" w:rsidP="000D77E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A750A7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CF680D" w:rsidRDefault="00CF680D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968" w:rsidRDefault="00B42968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B42968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20.01</w:t>
      </w:r>
      <w:r w:rsidR="000D76A7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</w:t>
      </w:r>
      <w:r w:rsidR="00CA4746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F680D" w:rsidRDefault="000D77E9" w:rsidP="008E0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F232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00BB7">
        <w:rPr>
          <w:rFonts w:ascii="Times New Roman" w:hAnsi="Times New Roman" w:cs="Times New Roman"/>
          <w:b/>
          <w:sz w:val="24"/>
          <w:szCs w:val="24"/>
          <w:lang w:val="uk-UA"/>
        </w:rPr>
        <w:t>Ільїнський ярмарок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F232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CF680D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F23216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CF680D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B42968" w:rsidTr="00CF680D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F680D" w:rsidRDefault="00CF680D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язку з реорганізацією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комуна-льного підприємства «М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="00F50E91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</w:t>
            </w:r>
            <w:r w:rsidR="00375C25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та відпочинку</w:t>
            </w:r>
            <w:r w:rsidR="00266C06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Т.Г. Шевченка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66C06" w:rsidRPr="00375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приєднання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підприємства 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«Ільїн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 ярмарок»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 підприємство виконує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прибирання території парку за рахунок власних коштів, маючи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66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штаті двірників.</w:t>
            </w:r>
          </w:p>
          <w:p w:rsidR="00F50E91" w:rsidRDefault="00266C06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2018 році надавалис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з міс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бюджету для прибирання окремих предметів</w:t>
            </w:r>
            <w:r w:rsidR="00CF6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5EDE" w:rsidRDefault="00B4296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2019 році надавали</w:t>
            </w:r>
            <w:r w:rsidR="00217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 кошти з міського бюджету для:</w:t>
            </w:r>
          </w:p>
          <w:p w:rsidR="00B42968" w:rsidRDefault="00B4296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підмітання території міського парку культури та відпочинку ім. Т.Г. Шевченка;</w:t>
            </w:r>
          </w:p>
          <w:p w:rsidR="00B42968" w:rsidRDefault="00B42968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прибирання сміття з урн та збирання окремих предметів у міському парку культури </w:t>
            </w:r>
            <w:r w:rsidR="00A2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відпочинку ім. Т. Г. Шевченка;</w:t>
            </w:r>
          </w:p>
          <w:p w:rsidR="00A2226A" w:rsidRDefault="00A2226A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покіс трави у міському парку культури та відпочинку ім. Т.Г. Шевченка;</w:t>
            </w:r>
          </w:p>
          <w:p w:rsidR="00A2226A" w:rsidRDefault="00A2226A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утримання клумб та оббивка бордюрів у міському парку культури та відпочинку ім. Т.Г. Шевченка;</w:t>
            </w:r>
          </w:p>
          <w:p w:rsidR="00A2226A" w:rsidRDefault="00A2226A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очищення території від снігу та сколювання льоду у міському парку культури та відпочинку ім. Т.Г. Шевченка.</w:t>
            </w:r>
          </w:p>
          <w:p w:rsidR="009441E2" w:rsidRDefault="009441E2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41E2" w:rsidRDefault="009441E2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41E2" w:rsidRPr="004C7BDA" w:rsidRDefault="009441E2" w:rsidP="00266C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9441E2" w:rsidRDefault="009441E2" w:rsidP="009441E2">
      <w:pPr>
        <w:jc w:val="right"/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"/>
        <w:gridCol w:w="3819"/>
        <w:gridCol w:w="9"/>
        <w:gridCol w:w="3960"/>
        <w:gridCol w:w="1275"/>
        <w:gridCol w:w="50"/>
      </w:tblGrid>
      <w:tr w:rsidR="009441E2" w:rsidRPr="00B42968" w:rsidTr="009441E2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441E2" w:rsidRPr="004C7BDA" w:rsidTr="009441E2">
        <w:trPr>
          <w:trHeight w:val="946"/>
        </w:trPr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9441E2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Штатна чисельність підприємства складає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044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відповідної кваліфікації, з яких 6 двірників.</w:t>
            </w:r>
          </w:p>
          <w:p w:rsidR="009441E2" w:rsidRPr="00F23216" w:rsidRDefault="00F23216" w:rsidP="00193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підприємстві наявні матеріально-технічні цінності, необхідні для забезпечення прибирання території парку від сміття та очищення снігу, покосу трави, обрізки дерев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441E2" w:rsidRPr="004C7BDA" w:rsidTr="009441E2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бездефіцитного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фінан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сово-економічного розрахунку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доходів та витрат підприємства на 2021 рік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441E2" w:rsidRPr="004C7BDA" w:rsidTr="009441E2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результат діяль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підприємства: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13,2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  <w:p w:rsidR="009441E2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 – 63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,5 тис.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9441E2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місяців 2020 року – 6,5 тис. грн.</w:t>
            </w:r>
          </w:p>
          <w:p w:rsidR="009441E2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</w:p>
          <w:p w:rsidR="009441E2" w:rsidRPr="00793A0C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793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про фінансові результати діяльності підприємства за 2018 та 2019 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9 місяців 2020 року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 заборго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ваності за</w:t>
            </w:r>
            <w:r w:rsidR="00F2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  банками</w:t>
            </w:r>
            <w:r w:rsidR="00F2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3960" w:type="dxa"/>
          </w:tcPr>
          <w:p w:rsidR="00D25EDC" w:rsidRPr="004C7BDA" w:rsidRDefault="007A3B12" w:rsidP="00542AE2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простроченої заборгованості за наданими банками кредитами</w:t>
            </w:r>
            <w:r w:rsidR="00F2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:rsidR="00D25EDC" w:rsidRPr="004C7BDA" w:rsidRDefault="00D25EDC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D25EDC" w:rsidRPr="004C7BDA" w:rsidRDefault="00D25EDC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28" w:type="dxa"/>
            <w:gridSpan w:val="2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60" w:type="dxa"/>
          </w:tcPr>
          <w:p w:rsidR="003C7527" w:rsidRPr="004C7BDA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3C7527" w:rsidRPr="004C7BDA" w:rsidRDefault="003C7527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A750A7" w:rsidRPr="004C7BDA" w:rsidRDefault="00DF1FF1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828" w:type="dxa"/>
            <w:gridSpan w:val="2"/>
          </w:tcPr>
          <w:p w:rsidR="00A750A7" w:rsidRPr="004C7BDA" w:rsidRDefault="00454007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сміття з урн та збирання окремих предметів в Міському парку культури і відпочинку ім. Т.Г.Шевченка</w:t>
            </w:r>
          </w:p>
        </w:tc>
        <w:tc>
          <w:tcPr>
            <w:tcW w:w="3960" w:type="dxa"/>
          </w:tcPr>
          <w:p w:rsidR="00A750A7" w:rsidRPr="0019322E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 </w:t>
            </w:r>
            <w:r w:rsidR="00454007"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206 201, 70 грн.</w:t>
            </w:r>
          </w:p>
          <w:p w:rsidR="00A750A7" w:rsidRPr="0019322E" w:rsidRDefault="00A750A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A750A7" w:rsidRPr="0019322E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A750A7" w:rsidRPr="0019322E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A750A7" w:rsidRPr="0019322E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A750A7" w:rsidRPr="0019322E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A750A7" w:rsidRDefault="00A750A7" w:rsidP="004C7BDA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P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A750A7" w:rsidRPr="004C7BDA" w:rsidRDefault="00A750A7" w:rsidP="00CF680D">
            <w:pPr>
              <w:spacing w:line="276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322E" w:rsidRDefault="0019322E" w:rsidP="0019322E">
      <w:pPr>
        <w:jc w:val="right"/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"/>
        <w:gridCol w:w="3819"/>
        <w:gridCol w:w="9"/>
        <w:gridCol w:w="3960"/>
        <w:gridCol w:w="1275"/>
        <w:gridCol w:w="50"/>
      </w:tblGrid>
      <w:tr w:rsidR="0019322E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gridSpan w:val="2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9322E" w:rsidRPr="004C7BDA" w:rsidTr="009441E2">
        <w:trPr>
          <w:gridAfter w:val="1"/>
          <w:wAfter w:w="50" w:type="dxa"/>
        </w:trPr>
        <w:tc>
          <w:tcPr>
            <w:tcW w:w="576" w:type="dxa"/>
            <w:gridSpan w:val="2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828" w:type="dxa"/>
            <w:gridSpan w:val="2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Підмітання території в Міському парку культури і відпочинку ім. Т. Г. Шевченка</w:t>
            </w:r>
          </w:p>
        </w:tc>
        <w:tc>
          <w:tcPr>
            <w:tcW w:w="3960" w:type="dxa"/>
          </w:tcPr>
          <w:p w:rsidR="0019322E" w:rsidRP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267 697, 98 грн.</w:t>
            </w:r>
          </w:p>
          <w:p w:rsidR="0019322E" w:rsidRP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19322E" w:rsidRPr="0019322E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19322E" w:rsidRPr="0019322E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19322E" w:rsidRPr="0019322E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19322E" w:rsidRPr="0019322E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19322E" w:rsidRPr="0019322E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41E2" w:rsidRPr="004C7BDA" w:rsidTr="0036752D">
        <w:tc>
          <w:tcPr>
            <w:tcW w:w="576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Очищення території від снігу та сколювання льоду в Міському парку культури і відпочинку ім. Т.Г. Шевченка</w:t>
            </w:r>
          </w:p>
        </w:tc>
        <w:tc>
          <w:tcPr>
            <w:tcW w:w="3960" w:type="dxa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74 334,38 грн.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41E2" w:rsidRPr="004C7BDA" w:rsidTr="0036752D">
        <w:tc>
          <w:tcPr>
            <w:tcW w:w="567" w:type="dxa"/>
          </w:tcPr>
          <w:p w:rsidR="009441E2" w:rsidRPr="004C7BDA" w:rsidRDefault="009441E2" w:rsidP="00944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2"/>
          </w:tcPr>
          <w:p w:rsidR="009441E2" w:rsidRPr="004C7BDA" w:rsidRDefault="009441E2" w:rsidP="009441E2">
            <w:pPr>
              <w:pStyle w:val="ae"/>
              <w:spacing w:before="0" w:after="0" w:line="276" w:lineRule="auto"/>
              <w:ind w:right="96"/>
              <w:jc w:val="both"/>
              <w:rPr>
                <w:color w:val="00B050"/>
                <w:lang w:val="uk-UA"/>
              </w:rPr>
            </w:pPr>
            <w:r>
              <w:rPr>
                <w:lang w:val="uk-UA"/>
              </w:rPr>
              <w:t>Покіс трави в Міському парку культури і відпочинку ім. Т.Г. Шевченка</w:t>
            </w:r>
          </w:p>
        </w:tc>
        <w:tc>
          <w:tcPr>
            <w:tcW w:w="3969" w:type="dxa"/>
            <w:gridSpan w:val="2"/>
          </w:tcPr>
          <w:p w:rsidR="009441E2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248 003, 85 грн.</w:t>
            </w:r>
          </w:p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9441E2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9441E2" w:rsidRPr="004C7BDA" w:rsidRDefault="009441E2" w:rsidP="009441E2">
            <w:pPr>
              <w:pStyle w:val="af"/>
              <w:numPr>
                <w:ilvl w:val="0"/>
                <w:numId w:val="2"/>
              </w:numPr>
              <w:tabs>
                <w:tab w:val="left" w:pos="179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  <w:gridSpan w:val="2"/>
          </w:tcPr>
          <w:p w:rsidR="009441E2" w:rsidRPr="004C7BDA" w:rsidRDefault="009441E2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504" w:rsidRPr="004C7BDA" w:rsidTr="0036752D">
        <w:tc>
          <w:tcPr>
            <w:tcW w:w="567" w:type="dxa"/>
          </w:tcPr>
          <w:p w:rsidR="00FB4504" w:rsidRPr="004C7BDA" w:rsidRDefault="00FB4504" w:rsidP="009441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2"/>
          </w:tcPr>
          <w:p w:rsidR="00FB4504" w:rsidRPr="00EF458E" w:rsidRDefault="000D76A7" w:rsidP="009441E2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бордюрів в Міському парку культури і відпочинку ім. Т.Г. Шевченка</w:t>
            </w:r>
          </w:p>
        </w:tc>
        <w:tc>
          <w:tcPr>
            <w:tcW w:w="3969" w:type="dxa"/>
            <w:gridSpan w:val="2"/>
          </w:tcPr>
          <w:p w:rsidR="00FB4504" w:rsidRPr="004C7BDA" w:rsidRDefault="00F01665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0D7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62 586, 70 грн.</w:t>
            </w:r>
          </w:p>
          <w:p w:rsidR="00FB4504" w:rsidRPr="004C7BDA" w:rsidRDefault="00FB4504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FB4504" w:rsidRPr="004C7BDA" w:rsidRDefault="00FB4504" w:rsidP="009441E2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FB4504" w:rsidRPr="004C7BDA" w:rsidRDefault="00FB4504" w:rsidP="009441E2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FB4504" w:rsidRPr="004C7BDA" w:rsidRDefault="00FB4504" w:rsidP="009441E2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FB4504" w:rsidRPr="004C7BDA" w:rsidRDefault="00FB4504" w:rsidP="009441E2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FB4504" w:rsidRDefault="00FB4504" w:rsidP="009441E2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9322E" w:rsidRPr="0019322E" w:rsidRDefault="0019322E" w:rsidP="0019322E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2"/>
          </w:tcPr>
          <w:p w:rsidR="00FB4504" w:rsidRPr="004C7BDA" w:rsidRDefault="00FB4504" w:rsidP="009441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9322E" w:rsidRDefault="0019322E"/>
    <w:p w:rsidR="0019322E" w:rsidRDefault="0019322E" w:rsidP="0019322E">
      <w:pPr>
        <w:jc w:val="right"/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19322E" w:rsidRPr="004C7BDA" w:rsidTr="0036752D">
        <w:tc>
          <w:tcPr>
            <w:tcW w:w="567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19322E" w:rsidRPr="004C7BDA" w:rsidRDefault="0019322E" w:rsidP="001932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9322E" w:rsidRPr="004C7BDA" w:rsidTr="0036752D">
        <w:tc>
          <w:tcPr>
            <w:tcW w:w="567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Підрізка дерев в Міському парку культури і відпочинку ім. Т.Г. Шевченка.</w:t>
            </w:r>
          </w:p>
        </w:tc>
        <w:tc>
          <w:tcPr>
            <w:tcW w:w="3969" w:type="dxa"/>
          </w:tcPr>
          <w:p w:rsid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21 175, 39 грн.</w:t>
            </w:r>
          </w:p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19322E" w:rsidRPr="004C7BDA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19322E" w:rsidRPr="004C7BDA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Договірна ціна</w:t>
            </w:r>
          </w:p>
          <w:p w:rsidR="0019322E" w:rsidRPr="004C7BDA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Дефектний акт</w:t>
            </w:r>
          </w:p>
          <w:p w:rsidR="0019322E" w:rsidRPr="004C7BDA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</w:t>
            </w:r>
          </w:p>
          <w:p w:rsidR="0019322E" w:rsidRPr="004C7BDA" w:rsidRDefault="0019322E" w:rsidP="0019322E">
            <w:pPr>
              <w:pStyle w:val="af"/>
              <w:numPr>
                <w:ilvl w:val="0"/>
                <w:numId w:val="2"/>
              </w:numPr>
              <w:tabs>
                <w:tab w:val="left" w:pos="321"/>
              </w:tabs>
              <w:spacing w:line="276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25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322E" w:rsidRPr="004C7BDA" w:rsidTr="0036752D">
        <w:tc>
          <w:tcPr>
            <w:tcW w:w="567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проекту землеустрою щодо організації та встановлення меж території об’</w:t>
            </w:r>
            <w:r w:rsidRPr="004D46D4">
              <w:rPr>
                <w:rFonts w:ascii="Times New Roman" w:hAnsi="Times New Roman" w:cs="Times New Roman"/>
                <w:sz w:val="24"/>
                <w:szCs w:val="24"/>
              </w:rPr>
              <w:t>єкта природно-заповідного фонду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4D46D4">
              <w:rPr>
                <w:rFonts w:ascii="Times New Roman" w:hAnsi="Times New Roman" w:cs="Times New Roman"/>
                <w:sz w:val="24"/>
                <w:szCs w:val="24"/>
              </w:rPr>
              <w:t xml:space="preserve">іського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 культури і відпочинку ім. Т.Г. Шевченка</w:t>
            </w:r>
          </w:p>
          <w:p w:rsid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20 000,00 грн.</w:t>
            </w:r>
          </w:p>
          <w:p w:rsidR="0019322E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19322E" w:rsidRPr="004C7BDA" w:rsidRDefault="0019322E" w:rsidP="00193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752D" w:rsidRPr="004C7BDA" w:rsidTr="0036752D">
        <w:tc>
          <w:tcPr>
            <w:tcW w:w="567" w:type="dxa"/>
          </w:tcPr>
          <w:p w:rsidR="0036752D" w:rsidRPr="004C7BDA" w:rsidRDefault="0036752D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</w:tcPr>
          <w:p w:rsidR="0036752D" w:rsidRPr="004C7BDA" w:rsidRDefault="0036752D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в  установ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леному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ство  і  він  не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перебуває  в  стадії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3969" w:type="dxa"/>
          </w:tcPr>
          <w:p w:rsidR="0036752D" w:rsidRPr="004C7BDA" w:rsidRDefault="0036752D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</w:t>
            </w:r>
            <w:r w:rsidR="00C62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справі про банкрутство</w:t>
            </w:r>
          </w:p>
        </w:tc>
        <w:tc>
          <w:tcPr>
            <w:tcW w:w="1325" w:type="dxa"/>
          </w:tcPr>
          <w:p w:rsidR="0036752D" w:rsidRPr="004C7BDA" w:rsidRDefault="0036752D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Default="00DE613B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0456" w:rsidRPr="004C7BDA" w:rsidRDefault="00200456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8E0424" w:rsidP="00944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004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D76A7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B875D6" w:rsidRDefault="00B875D6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9441E2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211F" w:rsidRDefault="0018211F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76A7" w:rsidRDefault="000D76A7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76A7" w:rsidRDefault="000D76A7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76A7" w:rsidRDefault="000D76A7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0D76A7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20.01.2021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CA47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CA4746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36752D" w:rsidRDefault="000D77E9" w:rsidP="00367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6752D" w:rsidRPr="0036752D" w:rsidRDefault="0036752D" w:rsidP="00367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52D">
        <w:rPr>
          <w:rFonts w:ascii="Times New Roman" w:hAnsi="Times New Roman" w:cs="Times New Roman"/>
          <w:b/>
          <w:sz w:val="24"/>
          <w:szCs w:val="24"/>
        </w:rPr>
        <w:t>використання коштів на виконання у 20</w:t>
      </w:r>
      <w:r w:rsidRPr="0036752D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36752D">
        <w:rPr>
          <w:rFonts w:ascii="Times New Roman" w:hAnsi="Times New Roman" w:cs="Times New Roman"/>
          <w:b/>
          <w:sz w:val="24"/>
          <w:szCs w:val="24"/>
        </w:rPr>
        <w:t xml:space="preserve"> році заходів</w:t>
      </w:r>
      <w:r w:rsidRPr="003675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 розвитку Міського парку культури та відпочинку ім. Т.Г. Шевченка на 2020-2023 роки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тання коштів на виконання у 2021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визначає механізм використання коштів,передбачених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 міського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</w:t>
      </w:r>
      <w:r w:rsidR="008F751B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загальному фонду на виконання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Ільїнський ярмарок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2.1.  Забезпечення прозорої та ефективної процедури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 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Сприяння утриманню в належному санітарному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 xml:space="preserve">стані </w:t>
      </w:r>
      <w:r w:rsidR="008F751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іського парку культури та відпочинку ім. Т.Г. Шевченка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803E1B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B37">
        <w:rPr>
          <w:rFonts w:ascii="Times New Roman" w:hAnsi="Times New Roman" w:cs="Times New Roman"/>
          <w:sz w:val="24"/>
          <w:szCs w:val="24"/>
          <w:lang w:val="uk-UA"/>
        </w:rPr>
        <w:t>Міського парку культури та відпочинку ім. Т.Г. Шевченка на 2020-2023 роки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проводить  в  межах  сум, передбачених  бюджетними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на 2021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бюджетів,затвердженого наказом Міністерства фінансів України від 23 серпня 2012року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</w:t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 контроль за виконанням Заходів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4.1. Кошти, що надаються, спрямовуються на виконання Заходів згідно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з додатком</w:t>
      </w:r>
      <w:r w:rsidR="00B1594D" w:rsidRPr="00B1594D">
        <w:rPr>
          <w:rFonts w:ascii="Times New Roman" w:hAnsi="Times New Roman" w:cs="Times New Roman"/>
          <w:sz w:val="24"/>
          <w:szCs w:val="24"/>
        </w:rPr>
        <w:t xml:space="preserve"> д</w:t>
      </w:r>
      <w:r w:rsidR="00984F53" w:rsidRPr="004C7BDA">
        <w:rPr>
          <w:rFonts w:ascii="Times New Roman" w:hAnsi="Times New Roman" w:cs="Times New Roman"/>
          <w:sz w:val="24"/>
          <w:szCs w:val="24"/>
          <w:lang w:val="uk-UA"/>
        </w:rPr>
        <w:t>о цього Порядку.</w:t>
      </w:r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 використання  в  межах  відповідних  бюджетних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lastRenderedPageBreak/>
        <w:t>4.3. Бюджетні кошти, що виділяються на виконання 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 Одержувачем на:</w:t>
      </w:r>
    </w:p>
    <w:p w:rsidR="000D77E9" w:rsidRPr="00B24F3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 заробітну плату працівник</w:t>
      </w:r>
      <w:r w:rsidR="008830A5" w:rsidRPr="004C7BDA">
        <w:rPr>
          <w:rFonts w:ascii="Times New Roman" w:hAnsi="Times New Roman" w:cs="Times New Roman"/>
          <w:sz w:val="24"/>
          <w:szCs w:val="24"/>
        </w:rPr>
        <w:t>ам підприємства</w:t>
      </w:r>
      <w:r w:rsidR="000D76A7">
        <w:rPr>
          <w:rFonts w:ascii="Times New Roman" w:hAnsi="Times New Roman" w:cs="Times New Roman"/>
          <w:sz w:val="24"/>
          <w:szCs w:val="24"/>
          <w:lang w:val="uk-UA"/>
        </w:rPr>
        <w:t>, які виконують роботу по заходах програми</w:t>
      </w:r>
      <w:r w:rsidR="00B24F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09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 нарахування на заробітну плату</w:t>
      </w:r>
      <w:r w:rsidR="005A09E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09EA" w:rsidRDefault="005A09EA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загальновиробничі </w:t>
      </w:r>
      <w:r>
        <w:rPr>
          <w:rFonts w:ascii="Times New Roman" w:hAnsi="Times New Roman" w:cs="Times New Roman"/>
          <w:sz w:val="24"/>
          <w:szCs w:val="24"/>
          <w:lang w:val="uk-UA"/>
        </w:rPr>
        <w:t>витрати;</w:t>
      </w:r>
    </w:p>
    <w:p w:rsidR="000D77E9" w:rsidRPr="004C7BDA" w:rsidRDefault="005A09EA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адміністративні витрати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придбання 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их 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- придбання спеціального одягу;</w:t>
      </w:r>
    </w:p>
    <w:p w:rsidR="008830A5" w:rsidRPr="004C7BDA" w:rsidRDefault="004F19F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- податок на додану вартість.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</w:t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52D">
        <w:rPr>
          <w:rFonts w:ascii="Times New Roman" w:hAnsi="Times New Roman" w:cs="Times New Roman"/>
          <w:sz w:val="24"/>
          <w:szCs w:val="24"/>
        </w:rPr>
        <w:t>річний</w:t>
      </w:r>
      <w:r w:rsidRPr="004C7BDA">
        <w:rPr>
          <w:rFonts w:ascii="Times New Roman" w:hAnsi="Times New Roman" w:cs="Times New Roman"/>
          <w:sz w:val="24"/>
          <w:szCs w:val="24"/>
        </w:rPr>
        <w:t xml:space="preserve"> план</w:t>
      </w:r>
      <w:r w:rsidR="00C62F2B">
        <w:rPr>
          <w:rFonts w:ascii="Times New Roman" w:hAnsi="Times New Roman" w:cs="Times New Roman"/>
          <w:sz w:val="24"/>
          <w:szCs w:val="24"/>
        </w:rPr>
        <w:t xml:space="preserve"> виконання Заходів. Річн</w:t>
      </w:r>
      <w:r w:rsidR="0036752D">
        <w:rPr>
          <w:rFonts w:ascii="Times New Roman" w:hAnsi="Times New Roman" w:cs="Times New Roman"/>
          <w:sz w:val="24"/>
          <w:szCs w:val="24"/>
        </w:rPr>
        <w:t xml:space="preserve">ий </w:t>
      </w:r>
      <w:r w:rsidRPr="004C7BDA">
        <w:rPr>
          <w:rFonts w:ascii="Times New Roman" w:hAnsi="Times New Roman" w:cs="Times New Roman"/>
          <w:sz w:val="24"/>
          <w:szCs w:val="24"/>
        </w:rPr>
        <w:t>план нада</w:t>
      </w:r>
      <w:r w:rsidR="0036752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4C7BDA">
        <w:rPr>
          <w:rFonts w:ascii="Times New Roman" w:hAnsi="Times New Roman" w:cs="Times New Roman"/>
          <w:sz w:val="24"/>
          <w:szCs w:val="24"/>
        </w:rPr>
        <w:t xml:space="preserve">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</w:t>
      </w:r>
      <w:r w:rsidR="00C62F2B">
        <w:rPr>
          <w:rFonts w:ascii="Times New Roman" w:hAnsi="Times New Roman" w:cs="Times New Roman"/>
          <w:sz w:val="24"/>
          <w:szCs w:val="24"/>
        </w:rPr>
        <w:t xml:space="preserve"> пови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>нен</w:t>
      </w:r>
      <w:r w:rsidR="0036752D">
        <w:rPr>
          <w:rFonts w:ascii="Times New Roman" w:hAnsi="Times New Roman" w:cs="Times New Roman"/>
          <w:sz w:val="24"/>
          <w:szCs w:val="24"/>
        </w:rPr>
        <w:t xml:space="preserve"> бути складений</w:t>
      </w:r>
      <w:r w:rsidRPr="00B1594D">
        <w:rPr>
          <w:rFonts w:ascii="Times New Roman" w:hAnsi="Times New Roman" w:cs="Times New Roman"/>
          <w:sz w:val="24"/>
          <w:szCs w:val="24"/>
        </w:rPr>
        <w:t xml:space="preserve"> з урахуванням помісячного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наступного 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виконаних робіт. Інформація щодо обсягу витрат на виконання Заходів протягом відповідного місяця надається 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 місяця у вигляді звіту про фактичні витрати за підписом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керівника підприємства та головного бухгалтера.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коштів на рахунок  Одержувача,відкритий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 річних планів виконання Заходів, актів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 робіт,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 здійснюється у встановленому законодавством</w:t>
      </w:r>
      <w:r w:rsidR="00C62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CF68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Pr="008F751B" w:rsidRDefault="000D77E9" w:rsidP="008F751B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1B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8F751B" w:rsidRDefault="000D77E9" w:rsidP="008F751B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1B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8F751B">
        <w:rPr>
          <w:rFonts w:ascii="Times New Roman" w:hAnsi="Times New Roman" w:cs="Times New Roman"/>
          <w:b/>
          <w:sz w:val="24"/>
          <w:szCs w:val="24"/>
        </w:rPr>
        <w:t>виконання</w:t>
      </w:r>
    </w:p>
    <w:p w:rsidR="000D0B9D" w:rsidRPr="008F751B" w:rsidRDefault="007F587E" w:rsidP="008F751B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1B">
        <w:rPr>
          <w:rFonts w:ascii="Times New Roman" w:hAnsi="Times New Roman" w:cs="Times New Roman"/>
          <w:b/>
          <w:sz w:val="24"/>
          <w:szCs w:val="24"/>
        </w:rPr>
        <w:t>у 20</w:t>
      </w:r>
      <w:r w:rsidR="00F83712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0D0B9D" w:rsidRPr="008F751B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77E9" w:rsidRPr="008F751B">
        <w:rPr>
          <w:rFonts w:ascii="Times New Roman" w:hAnsi="Times New Roman" w:cs="Times New Roman"/>
          <w:b/>
          <w:sz w:val="24"/>
          <w:szCs w:val="24"/>
        </w:rPr>
        <w:t>Заходів з</w:t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6CB7" w:rsidRPr="008F751B">
        <w:rPr>
          <w:rFonts w:ascii="Times New Roman" w:hAnsi="Times New Roman" w:cs="Times New Roman"/>
          <w:b/>
          <w:sz w:val="24"/>
          <w:szCs w:val="24"/>
          <w:lang w:val="uk-UA"/>
        </w:rPr>
        <w:t>розитку Міського парку культури та відпочинку ім. Т.Г. Шевченка на 2020-2023 роки</w:t>
      </w:r>
    </w:p>
    <w:p w:rsidR="007F587E" w:rsidRPr="008F751B" w:rsidRDefault="00DF1FF1" w:rsidP="008F751B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1B">
        <w:rPr>
          <w:rFonts w:ascii="Times New Roman" w:hAnsi="Times New Roman" w:cs="Times New Roman"/>
          <w:b/>
          <w:sz w:val="24"/>
          <w:szCs w:val="24"/>
          <w:lang w:val="uk-UA"/>
        </w:rPr>
        <w:t>(пункт 4.1)</w:t>
      </w:r>
    </w:p>
    <w:p w:rsidR="007F587E" w:rsidRPr="008F751B" w:rsidRDefault="007F587E" w:rsidP="008F751B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8F751B" w:rsidRDefault="000D77E9" w:rsidP="008F751B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1B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8F76AF" w:rsidRPr="008F751B" w:rsidRDefault="000D0B9D" w:rsidP="008F751B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5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7F6CB7" w:rsidRPr="008F751B">
        <w:rPr>
          <w:rFonts w:ascii="Times New Roman" w:hAnsi="Times New Roman" w:cs="Times New Roman"/>
          <w:b/>
          <w:sz w:val="24"/>
          <w:szCs w:val="24"/>
          <w:lang w:val="uk-UA"/>
        </w:rPr>
        <w:t>розвитку Міського парку культури та відпочинку ім. Т.Г. Шевченка на 2020-2023 роки</w:t>
      </w:r>
    </w:p>
    <w:p w:rsidR="000D0B9D" w:rsidRPr="008F751B" w:rsidRDefault="000D0B9D" w:rsidP="008F751B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766278" w:rsidRPr="008F751B" w:rsidTr="00984F53">
        <w:tc>
          <w:tcPr>
            <w:tcW w:w="550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8F751B">
              <w:rPr>
                <w:b/>
                <w:lang w:val="uk-UA"/>
              </w:rPr>
              <w:t>№</w:t>
            </w:r>
          </w:p>
          <w:p w:rsidR="00766278" w:rsidRPr="008F751B" w:rsidRDefault="00F83712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766278" w:rsidRPr="008F751B">
              <w:rPr>
                <w:b/>
                <w:lang w:val="uk-UA"/>
              </w:rPr>
              <w:t>п</w:t>
            </w:r>
          </w:p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60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8F751B">
              <w:rPr>
                <w:b/>
                <w:lang w:val="uk-UA"/>
              </w:rPr>
              <w:t>Пріоритет розвитку</w:t>
            </w:r>
          </w:p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102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8F751B">
              <w:rPr>
                <w:b/>
                <w:lang w:val="uk-UA"/>
              </w:rPr>
              <w:t>Назва заходу</w:t>
            </w:r>
          </w:p>
          <w:p w:rsidR="00766278" w:rsidRPr="008F751B" w:rsidRDefault="00766278" w:rsidP="008F751B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8F751B">
              <w:rPr>
                <w:b/>
                <w:lang w:val="uk-UA"/>
              </w:rPr>
              <w:t>Джерело фінансування</w:t>
            </w:r>
          </w:p>
          <w:p w:rsidR="00766278" w:rsidRPr="008F751B" w:rsidRDefault="00766278" w:rsidP="008F751B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</w:t>
            </w:r>
          </w:p>
          <w:p w:rsidR="00766278" w:rsidRPr="008F751B" w:rsidRDefault="00015EF9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(гривень</w:t>
            </w:r>
            <w:r w:rsidR="00766278" w:rsidRPr="008F7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836" w:type="dxa"/>
          </w:tcPr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6278" w:rsidRPr="008F751B" w:rsidTr="00984F53">
        <w:trPr>
          <w:trHeight w:val="281"/>
        </w:trPr>
        <w:tc>
          <w:tcPr>
            <w:tcW w:w="550" w:type="dxa"/>
          </w:tcPr>
          <w:p w:rsidR="00766278" w:rsidRPr="008F751B" w:rsidRDefault="00766278" w:rsidP="008F751B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766278" w:rsidRPr="008F751B" w:rsidRDefault="00766278" w:rsidP="008F751B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766278" w:rsidRPr="008F751B" w:rsidRDefault="00766278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 w:val="restart"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1.</w:t>
            </w:r>
          </w:p>
        </w:tc>
        <w:tc>
          <w:tcPr>
            <w:tcW w:w="2960" w:type="dxa"/>
            <w:vMerge w:val="restart"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Благоустрій території </w:t>
            </w:r>
            <w:r w:rsidR="008F751B" w:rsidRPr="008F75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3039C2" w:rsidRPr="008F75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іського</w:t>
            </w:r>
            <w:r w:rsidR="008F75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8F75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і відновлення зелених насаджень</w:t>
            </w:r>
          </w:p>
        </w:tc>
        <w:tc>
          <w:tcPr>
            <w:tcW w:w="5102" w:type="dxa"/>
          </w:tcPr>
          <w:p w:rsidR="00CB4765" w:rsidRPr="008F751B" w:rsidRDefault="00CB4765" w:rsidP="008F751B">
            <w:pPr>
              <w:pStyle w:val="ae"/>
              <w:spacing w:before="0" w:after="0" w:line="276" w:lineRule="auto"/>
              <w:ind w:right="169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Організація благоустрою по об’єктам разом</w:t>
            </w:r>
          </w:p>
          <w:p w:rsidR="003039C2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 xml:space="preserve">Підмітання території 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Збирання окремих предметів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Прибирання сміття з урн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Покіс трави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Підрізка дерев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Утримання клумб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Оббивка бордюрів (видалення бур’янів)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Очищення території від снігу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Сколювання льоду та інші види робіт</w:t>
            </w:r>
          </w:p>
        </w:tc>
        <w:tc>
          <w:tcPr>
            <w:tcW w:w="1418" w:type="dxa"/>
          </w:tcPr>
          <w:p w:rsidR="00CB4765" w:rsidRPr="008F751B" w:rsidRDefault="00CB4765" w:rsidP="008F751B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ind w:left="147" w:firstLine="11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CB4765" w:rsidRPr="008F751B" w:rsidRDefault="007E24D0" w:rsidP="008F7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0 000, 00</w:t>
            </w:r>
          </w:p>
        </w:tc>
        <w:tc>
          <w:tcPr>
            <w:tcW w:w="2836" w:type="dxa"/>
          </w:tcPr>
          <w:p w:rsidR="00CB4765" w:rsidRPr="008F751B" w:rsidRDefault="00CB4765" w:rsidP="00194C42">
            <w:pPr>
              <w:spacing w:line="276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чистоти в 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парку </w:t>
            </w:r>
            <w:r w:rsidR="00B24F32"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його санітарного стану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043CE2" w:rsidP="008F7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Підмітання території </w:t>
            </w:r>
          </w:p>
        </w:tc>
        <w:tc>
          <w:tcPr>
            <w:tcW w:w="1418" w:type="dxa"/>
          </w:tcPr>
          <w:p w:rsidR="00CB4765" w:rsidRPr="008F751B" w:rsidRDefault="00CB4765" w:rsidP="008F751B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8F751B" w:rsidRDefault="00194C42" w:rsidP="008F751B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267 697, 98</w:t>
            </w:r>
          </w:p>
        </w:tc>
        <w:tc>
          <w:tcPr>
            <w:tcW w:w="2836" w:type="dxa"/>
          </w:tcPr>
          <w:p w:rsidR="00CB4765" w:rsidRPr="008F751B" w:rsidRDefault="00CB4765" w:rsidP="00194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чистоти в 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0508DD" w:rsidP="008F7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Прибирання сміття з урн та збирання окремих предметів </w:t>
            </w:r>
          </w:p>
        </w:tc>
        <w:tc>
          <w:tcPr>
            <w:tcW w:w="1418" w:type="dxa"/>
          </w:tcPr>
          <w:p w:rsidR="00CB4765" w:rsidRPr="008F751B" w:rsidRDefault="00CB4765" w:rsidP="008F751B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  <w:p w:rsidR="00CB4765" w:rsidRPr="008F751B" w:rsidRDefault="00CB4765" w:rsidP="008F751B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B4765" w:rsidRPr="008F751B" w:rsidRDefault="00194C42" w:rsidP="008F75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206 201, 70</w:t>
            </w:r>
          </w:p>
        </w:tc>
        <w:tc>
          <w:tcPr>
            <w:tcW w:w="2836" w:type="dxa"/>
          </w:tcPr>
          <w:p w:rsidR="00CB4765" w:rsidRPr="008F751B" w:rsidRDefault="00CB4765" w:rsidP="00194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чистоти в 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</w:t>
            </w:r>
          </w:p>
        </w:tc>
      </w:tr>
    </w:tbl>
    <w:p w:rsidR="00984F53" w:rsidRPr="008F751B" w:rsidRDefault="00984F53" w:rsidP="008F751B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751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додатку до Порядку (пункт 4.1)</w:t>
      </w:r>
    </w:p>
    <w:p w:rsidR="00984F53" w:rsidRPr="008F751B" w:rsidRDefault="00984F53" w:rsidP="008F751B">
      <w:pPr>
        <w:tabs>
          <w:tab w:val="left" w:pos="5535"/>
          <w:tab w:val="right" w:pos="9355"/>
        </w:tabs>
        <w:spacing w:after="0"/>
        <w:ind w:left="864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 w:firstRow="1" w:lastRow="0" w:firstColumn="1" w:lastColumn="0" w:noHBand="0" w:noVBand="1"/>
      </w:tblPr>
      <w:tblGrid>
        <w:gridCol w:w="550"/>
        <w:gridCol w:w="2960"/>
        <w:gridCol w:w="5102"/>
        <w:gridCol w:w="1418"/>
        <w:gridCol w:w="1701"/>
        <w:gridCol w:w="2836"/>
      </w:tblGrid>
      <w:tr w:rsidR="00984F53" w:rsidRPr="008F751B" w:rsidTr="00984F53">
        <w:trPr>
          <w:trHeight w:val="281"/>
        </w:trPr>
        <w:tc>
          <w:tcPr>
            <w:tcW w:w="550" w:type="dxa"/>
          </w:tcPr>
          <w:p w:rsidR="00984F53" w:rsidRPr="008F751B" w:rsidRDefault="00984F53" w:rsidP="008F751B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1</w:t>
            </w:r>
          </w:p>
        </w:tc>
        <w:tc>
          <w:tcPr>
            <w:tcW w:w="2960" w:type="dxa"/>
          </w:tcPr>
          <w:p w:rsidR="00984F53" w:rsidRPr="008F751B" w:rsidRDefault="00984F53" w:rsidP="008F751B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2</w:t>
            </w:r>
          </w:p>
        </w:tc>
        <w:tc>
          <w:tcPr>
            <w:tcW w:w="5102" w:type="dxa"/>
          </w:tcPr>
          <w:p w:rsidR="00984F53" w:rsidRPr="008F751B" w:rsidRDefault="00984F53" w:rsidP="008F751B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984F53" w:rsidRPr="008F751B" w:rsidRDefault="00984F53" w:rsidP="008F751B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8F751B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984F53" w:rsidRPr="008F751B" w:rsidRDefault="00984F53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984F53" w:rsidRPr="008F751B" w:rsidRDefault="00984F53" w:rsidP="008F75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 w:val="restart"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 w:val="restart"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A3124C" w:rsidP="0036752D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Покіс трави </w:t>
            </w:r>
          </w:p>
        </w:tc>
        <w:tc>
          <w:tcPr>
            <w:tcW w:w="1418" w:type="dxa"/>
          </w:tcPr>
          <w:p w:rsidR="00CB4765" w:rsidRPr="008F751B" w:rsidRDefault="00CB4765" w:rsidP="0036752D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8F751B" w:rsidRDefault="00194C42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D4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8 003, 85</w:t>
            </w:r>
          </w:p>
        </w:tc>
        <w:tc>
          <w:tcPr>
            <w:tcW w:w="2836" w:type="dxa"/>
          </w:tcPr>
          <w:p w:rsidR="00CB4765" w:rsidRPr="008F751B" w:rsidRDefault="000A1A6B" w:rsidP="00367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зелених насаджень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2C3C61" w:rsidP="0036752D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 xml:space="preserve">Підрізка дерев </w:t>
            </w:r>
          </w:p>
        </w:tc>
        <w:tc>
          <w:tcPr>
            <w:tcW w:w="1418" w:type="dxa"/>
          </w:tcPr>
          <w:p w:rsidR="00CB4765" w:rsidRPr="008F751B" w:rsidRDefault="00CB4765" w:rsidP="0036752D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8F751B" w:rsidRDefault="00194C42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21 175, 39</w:t>
            </w:r>
          </w:p>
        </w:tc>
        <w:tc>
          <w:tcPr>
            <w:tcW w:w="2836" w:type="dxa"/>
          </w:tcPr>
          <w:p w:rsidR="00CB4765" w:rsidRPr="008F751B" w:rsidRDefault="000A1A6B" w:rsidP="00367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зелених насаджень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2C3C61" w:rsidP="0036752D">
            <w:pPr>
              <w:pStyle w:val="ae"/>
              <w:spacing w:before="0" w:after="0" w:line="276" w:lineRule="auto"/>
              <w:ind w:right="96"/>
              <w:jc w:val="both"/>
              <w:rPr>
                <w:lang w:val="uk-UA"/>
              </w:rPr>
            </w:pPr>
            <w:r w:rsidRPr="008F751B">
              <w:rPr>
                <w:lang w:val="uk-UA"/>
              </w:rPr>
              <w:t>Утримання клумб та оббивка бордюр</w:t>
            </w:r>
            <w:r w:rsidR="00790497">
              <w:rPr>
                <w:lang w:val="uk-UA"/>
              </w:rPr>
              <w:t>ів</w:t>
            </w:r>
          </w:p>
        </w:tc>
        <w:tc>
          <w:tcPr>
            <w:tcW w:w="1418" w:type="dxa"/>
          </w:tcPr>
          <w:p w:rsidR="00CB4765" w:rsidRPr="008F751B" w:rsidRDefault="00CB4765" w:rsidP="0036752D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8F751B" w:rsidRDefault="00194C42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62 586, 70</w:t>
            </w:r>
          </w:p>
        </w:tc>
        <w:tc>
          <w:tcPr>
            <w:tcW w:w="2836" w:type="dxa"/>
          </w:tcPr>
          <w:p w:rsidR="00CB4765" w:rsidRPr="008F751B" w:rsidRDefault="00CB4765" w:rsidP="00367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чистоти в 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EB7F8F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Очищення території від снігу та сколювання льоду </w:t>
            </w:r>
          </w:p>
        </w:tc>
        <w:tc>
          <w:tcPr>
            <w:tcW w:w="1418" w:type="dxa"/>
          </w:tcPr>
          <w:p w:rsidR="00CB4765" w:rsidRPr="008F751B" w:rsidRDefault="00CB4765" w:rsidP="0036752D">
            <w:pPr>
              <w:pStyle w:val="ae"/>
              <w:spacing w:before="0" w:after="0" w:line="276" w:lineRule="auto"/>
              <w:ind w:left="147"/>
              <w:jc w:val="both"/>
              <w:rPr>
                <w:b/>
                <w:lang w:val="uk-UA"/>
              </w:rPr>
            </w:pPr>
            <w:r w:rsidRPr="008F751B"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CB4765" w:rsidRPr="008F751B" w:rsidRDefault="00194C42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74 334, 38</w:t>
            </w:r>
          </w:p>
        </w:tc>
        <w:tc>
          <w:tcPr>
            <w:tcW w:w="2836" w:type="dxa"/>
          </w:tcPr>
          <w:p w:rsidR="00CB4765" w:rsidRPr="008F751B" w:rsidRDefault="00CB4765" w:rsidP="0036752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чистоти в 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</w:t>
            </w:r>
          </w:p>
        </w:tc>
      </w:tr>
      <w:tr w:rsidR="00217535" w:rsidRPr="008F751B" w:rsidTr="00984F53">
        <w:trPr>
          <w:trHeight w:val="281"/>
        </w:trPr>
        <w:tc>
          <w:tcPr>
            <w:tcW w:w="550" w:type="dxa"/>
            <w:vMerge/>
          </w:tcPr>
          <w:p w:rsidR="00217535" w:rsidRPr="008F751B" w:rsidRDefault="0021753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217535" w:rsidRPr="008F751B" w:rsidRDefault="00217535" w:rsidP="008F751B">
            <w:p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217535" w:rsidRPr="000A1A6B" w:rsidRDefault="000A1A6B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</w:t>
            </w:r>
            <w:r w:rsidRPr="000A1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 землеустрою щодо організації та встановлення меж території об’єкта природно-заповідного фонду –</w:t>
            </w:r>
            <w:r w:rsidR="007E2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0A1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іського парку культури і відпочинку ім. Т.Г. Шевченка</w:t>
            </w:r>
          </w:p>
        </w:tc>
        <w:tc>
          <w:tcPr>
            <w:tcW w:w="1418" w:type="dxa"/>
          </w:tcPr>
          <w:p w:rsidR="00217535" w:rsidRPr="008F751B" w:rsidRDefault="000A1A6B" w:rsidP="0036752D">
            <w:pPr>
              <w:pStyle w:val="ae"/>
              <w:spacing w:before="0" w:after="0" w:line="276" w:lineRule="auto"/>
              <w:ind w:left="147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217535" w:rsidRDefault="000A1A6B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20 000, 00</w:t>
            </w:r>
          </w:p>
        </w:tc>
        <w:tc>
          <w:tcPr>
            <w:tcW w:w="2836" w:type="dxa"/>
          </w:tcPr>
          <w:p w:rsidR="00217535" w:rsidRPr="008F751B" w:rsidRDefault="007E24D0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Правовстановлюючий документ для збереження і використання парку</w:t>
            </w:r>
          </w:p>
        </w:tc>
      </w:tr>
      <w:tr w:rsidR="00CB4765" w:rsidRPr="008F751B" w:rsidTr="00984F53">
        <w:trPr>
          <w:trHeight w:val="281"/>
        </w:trPr>
        <w:tc>
          <w:tcPr>
            <w:tcW w:w="550" w:type="dxa"/>
            <w:vMerge/>
          </w:tcPr>
          <w:p w:rsidR="00CB4765" w:rsidRPr="008F751B" w:rsidRDefault="00CB4765" w:rsidP="008F751B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2960" w:type="dxa"/>
            <w:vMerge/>
          </w:tcPr>
          <w:p w:rsidR="00CB4765" w:rsidRPr="008F751B" w:rsidRDefault="00CB4765" w:rsidP="008F751B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</w:tcPr>
          <w:p w:rsidR="00CB4765" w:rsidRPr="008F751B" w:rsidRDefault="00CB4765" w:rsidP="00367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по </w:t>
            </w:r>
            <w:r w:rsidR="00790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24F32"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оговора</w:t>
            </w:r>
            <w:r w:rsidR="00491B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CB4765" w:rsidRPr="008F751B" w:rsidRDefault="00CB4765" w:rsidP="0036752D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CB4765" w:rsidRPr="008F751B" w:rsidRDefault="00CB4765" w:rsidP="0036752D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701" w:type="dxa"/>
          </w:tcPr>
          <w:p w:rsidR="00CB4765" w:rsidRPr="008F751B" w:rsidRDefault="007E24D0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194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0 000, 00</w:t>
            </w:r>
          </w:p>
        </w:tc>
        <w:tc>
          <w:tcPr>
            <w:tcW w:w="2836" w:type="dxa"/>
          </w:tcPr>
          <w:p w:rsidR="00CB4765" w:rsidRPr="008F751B" w:rsidRDefault="00CB4765" w:rsidP="003675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4538E" w:rsidRDefault="00B4538E" w:rsidP="008F75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0497" w:rsidRPr="008F751B" w:rsidRDefault="00790497" w:rsidP="008F75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538E" w:rsidRDefault="00790497" w:rsidP="008F7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0497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</w:t>
      </w:r>
      <w:r w:rsidR="001932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0497">
        <w:rPr>
          <w:rFonts w:ascii="Times New Roman" w:hAnsi="Times New Roman" w:cs="Times New Roman"/>
          <w:b/>
          <w:sz w:val="24"/>
          <w:szCs w:val="24"/>
          <w:lang w:val="uk-UA"/>
        </w:rPr>
        <w:t>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2F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194C42">
        <w:rPr>
          <w:rFonts w:ascii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217535" w:rsidRDefault="00217535" w:rsidP="008F7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7535" w:rsidRPr="00790497" w:rsidRDefault="00217535" w:rsidP="008F7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17535" w:rsidRPr="00790497" w:rsidSect="000D0B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C9" w:rsidRDefault="007607C9" w:rsidP="00FC2383">
      <w:pPr>
        <w:spacing w:after="0" w:line="240" w:lineRule="auto"/>
      </w:pPr>
      <w:r>
        <w:separator/>
      </w:r>
    </w:p>
  </w:endnote>
  <w:endnote w:type="continuationSeparator" w:id="0">
    <w:p w:rsidR="007607C9" w:rsidRDefault="007607C9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C9" w:rsidRDefault="007607C9" w:rsidP="00FC2383">
      <w:pPr>
        <w:spacing w:after="0" w:line="240" w:lineRule="auto"/>
      </w:pPr>
      <w:r>
        <w:separator/>
      </w:r>
    </w:p>
  </w:footnote>
  <w:footnote w:type="continuationSeparator" w:id="0">
    <w:p w:rsidR="007607C9" w:rsidRDefault="007607C9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A42"/>
    <w:multiLevelType w:val="hybridMultilevel"/>
    <w:tmpl w:val="003076A8"/>
    <w:lvl w:ilvl="0" w:tplc="035AF1BA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6E74"/>
    <w:multiLevelType w:val="hybridMultilevel"/>
    <w:tmpl w:val="61F4594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693D"/>
    <w:rsid w:val="00042D22"/>
    <w:rsid w:val="00043CE2"/>
    <w:rsid w:val="00044E5A"/>
    <w:rsid w:val="000476CE"/>
    <w:rsid w:val="000508DD"/>
    <w:rsid w:val="00055429"/>
    <w:rsid w:val="000A1A6B"/>
    <w:rsid w:val="000B3220"/>
    <w:rsid w:val="000C28EA"/>
    <w:rsid w:val="000D0B9D"/>
    <w:rsid w:val="000D6C1D"/>
    <w:rsid w:val="000D76A7"/>
    <w:rsid w:val="000D77E9"/>
    <w:rsid w:val="000E095D"/>
    <w:rsid w:val="00115EDE"/>
    <w:rsid w:val="00123A5C"/>
    <w:rsid w:val="0018211F"/>
    <w:rsid w:val="0019322E"/>
    <w:rsid w:val="00194C42"/>
    <w:rsid w:val="001A17B2"/>
    <w:rsid w:val="001D3DFE"/>
    <w:rsid w:val="00200456"/>
    <w:rsid w:val="00217535"/>
    <w:rsid w:val="00220E25"/>
    <w:rsid w:val="00236D77"/>
    <w:rsid w:val="00247B3A"/>
    <w:rsid w:val="00253264"/>
    <w:rsid w:val="00266C06"/>
    <w:rsid w:val="002859A4"/>
    <w:rsid w:val="00294C15"/>
    <w:rsid w:val="002A7909"/>
    <w:rsid w:val="002C3C61"/>
    <w:rsid w:val="002D5E5E"/>
    <w:rsid w:val="002E2B99"/>
    <w:rsid w:val="002E6AB4"/>
    <w:rsid w:val="003039C2"/>
    <w:rsid w:val="0030402F"/>
    <w:rsid w:val="0033241E"/>
    <w:rsid w:val="0036752D"/>
    <w:rsid w:val="00375C25"/>
    <w:rsid w:val="003C2736"/>
    <w:rsid w:val="003C7527"/>
    <w:rsid w:val="003D1B11"/>
    <w:rsid w:val="003E7C95"/>
    <w:rsid w:val="00435176"/>
    <w:rsid w:val="00442932"/>
    <w:rsid w:val="00454007"/>
    <w:rsid w:val="004704DA"/>
    <w:rsid w:val="00491B54"/>
    <w:rsid w:val="004938BC"/>
    <w:rsid w:val="004A0A7F"/>
    <w:rsid w:val="004B1F54"/>
    <w:rsid w:val="004B5AD2"/>
    <w:rsid w:val="004C6AC3"/>
    <w:rsid w:val="004C7BDA"/>
    <w:rsid w:val="004D099A"/>
    <w:rsid w:val="004D2A60"/>
    <w:rsid w:val="004D46D4"/>
    <w:rsid w:val="004F19FE"/>
    <w:rsid w:val="004F4071"/>
    <w:rsid w:val="00542AE2"/>
    <w:rsid w:val="005478F4"/>
    <w:rsid w:val="00560B5F"/>
    <w:rsid w:val="0057644C"/>
    <w:rsid w:val="00576A38"/>
    <w:rsid w:val="005A09EA"/>
    <w:rsid w:val="005B41DC"/>
    <w:rsid w:val="005D7C83"/>
    <w:rsid w:val="005E0910"/>
    <w:rsid w:val="005E5C7A"/>
    <w:rsid w:val="00650451"/>
    <w:rsid w:val="00663343"/>
    <w:rsid w:val="006759CA"/>
    <w:rsid w:val="006873FD"/>
    <w:rsid w:val="00697FBC"/>
    <w:rsid w:val="006B662B"/>
    <w:rsid w:val="006E0B70"/>
    <w:rsid w:val="006E362C"/>
    <w:rsid w:val="00703A31"/>
    <w:rsid w:val="007101E9"/>
    <w:rsid w:val="007607C9"/>
    <w:rsid w:val="00766278"/>
    <w:rsid w:val="00790497"/>
    <w:rsid w:val="00793A0C"/>
    <w:rsid w:val="00797964"/>
    <w:rsid w:val="007A3B12"/>
    <w:rsid w:val="007B0DDA"/>
    <w:rsid w:val="007B5ECC"/>
    <w:rsid w:val="007B76F3"/>
    <w:rsid w:val="007E24D0"/>
    <w:rsid w:val="007F587E"/>
    <w:rsid w:val="007F6CB7"/>
    <w:rsid w:val="00800BB7"/>
    <w:rsid w:val="00803E1B"/>
    <w:rsid w:val="008073CE"/>
    <w:rsid w:val="00822AFC"/>
    <w:rsid w:val="00825BD8"/>
    <w:rsid w:val="00825EAC"/>
    <w:rsid w:val="008830A5"/>
    <w:rsid w:val="008C7E73"/>
    <w:rsid w:val="008D55CD"/>
    <w:rsid w:val="008E0424"/>
    <w:rsid w:val="008E7F0F"/>
    <w:rsid w:val="008F751B"/>
    <w:rsid w:val="008F76AF"/>
    <w:rsid w:val="009068EA"/>
    <w:rsid w:val="00925329"/>
    <w:rsid w:val="009403BF"/>
    <w:rsid w:val="00941733"/>
    <w:rsid w:val="009441E2"/>
    <w:rsid w:val="00967B87"/>
    <w:rsid w:val="00984F53"/>
    <w:rsid w:val="00987109"/>
    <w:rsid w:val="00997D6B"/>
    <w:rsid w:val="009A5114"/>
    <w:rsid w:val="009A543F"/>
    <w:rsid w:val="009B387B"/>
    <w:rsid w:val="009D1044"/>
    <w:rsid w:val="009E1B4A"/>
    <w:rsid w:val="00A11CFE"/>
    <w:rsid w:val="00A2226A"/>
    <w:rsid w:val="00A3124C"/>
    <w:rsid w:val="00A4223C"/>
    <w:rsid w:val="00A750A7"/>
    <w:rsid w:val="00AF1BEA"/>
    <w:rsid w:val="00B1594D"/>
    <w:rsid w:val="00B17F7F"/>
    <w:rsid w:val="00B24F32"/>
    <w:rsid w:val="00B42968"/>
    <w:rsid w:val="00B4538E"/>
    <w:rsid w:val="00B65F5B"/>
    <w:rsid w:val="00B70E96"/>
    <w:rsid w:val="00B875D6"/>
    <w:rsid w:val="00B93082"/>
    <w:rsid w:val="00BA7FA3"/>
    <w:rsid w:val="00BE45F2"/>
    <w:rsid w:val="00BF1C79"/>
    <w:rsid w:val="00C02919"/>
    <w:rsid w:val="00C05343"/>
    <w:rsid w:val="00C159D3"/>
    <w:rsid w:val="00C47B37"/>
    <w:rsid w:val="00C62F2B"/>
    <w:rsid w:val="00C63F0F"/>
    <w:rsid w:val="00CA4746"/>
    <w:rsid w:val="00CB08C1"/>
    <w:rsid w:val="00CB4765"/>
    <w:rsid w:val="00CE52E3"/>
    <w:rsid w:val="00CF680D"/>
    <w:rsid w:val="00D1475E"/>
    <w:rsid w:val="00D21F72"/>
    <w:rsid w:val="00D25EDC"/>
    <w:rsid w:val="00D451CD"/>
    <w:rsid w:val="00D5271C"/>
    <w:rsid w:val="00D72BFC"/>
    <w:rsid w:val="00DA1E64"/>
    <w:rsid w:val="00DB6776"/>
    <w:rsid w:val="00DD7638"/>
    <w:rsid w:val="00DE134E"/>
    <w:rsid w:val="00DE613B"/>
    <w:rsid w:val="00DF1FF1"/>
    <w:rsid w:val="00E10761"/>
    <w:rsid w:val="00E13A81"/>
    <w:rsid w:val="00E4056B"/>
    <w:rsid w:val="00E517DB"/>
    <w:rsid w:val="00E5408B"/>
    <w:rsid w:val="00E667CC"/>
    <w:rsid w:val="00EB7F8F"/>
    <w:rsid w:val="00ED76FE"/>
    <w:rsid w:val="00EF458E"/>
    <w:rsid w:val="00F01665"/>
    <w:rsid w:val="00F07F0F"/>
    <w:rsid w:val="00F131DE"/>
    <w:rsid w:val="00F23216"/>
    <w:rsid w:val="00F26023"/>
    <w:rsid w:val="00F36E16"/>
    <w:rsid w:val="00F46E9C"/>
    <w:rsid w:val="00F47FA0"/>
    <w:rsid w:val="00F50E91"/>
    <w:rsid w:val="00F7237E"/>
    <w:rsid w:val="00F72A28"/>
    <w:rsid w:val="00F75030"/>
    <w:rsid w:val="00F83712"/>
    <w:rsid w:val="00F90D16"/>
    <w:rsid w:val="00FA42F6"/>
    <w:rsid w:val="00FB4504"/>
    <w:rsid w:val="00FC2383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2208"/>
  <w15:docId w15:val="{E84CA6B6-16EB-4D19-96B1-8604DACD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AC5D-EAA9-4EF0-B8B1-C9E840E4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5</cp:revision>
  <cp:lastPrinted>2020-03-11T11:51:00Z</cp:lastPrinted>
  <dcterms:created xsi:type="dcterms:W3CDTF">2021-01-13T14:31:00Z</dcterms:created>
  <dcterms:modified xsi:type="dcterms:W3CDTF">2021-01-21T11:35:00Z</dcterms:modified>
</cp:coreProperties>
</file>