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B7" w:rsidRPr="00A87F4A" w:rsidRDefault="0096033C" w:rsidP="00EA01B7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3870" cy="6508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1B7" w:rsidRPr="00A87F4A" w:rsidRDefault="00EA01B7" w:rsidP="00EA01B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EA01B7" w:rsidRPr="00A87F4A" w:rsidRDefault="00EA01B7" w:rsidP="00EA01B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СЬОМЕ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EA01B7" w:rsidRPr="004854F8" w:rsidRDefault="00EA01B7" w:rsidP="00EA01B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EA01B7" w:rsidRPr="00A87F4A" w:rsidRDefault="00EA01B7" w:rsidP="00EA01B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СІМДЕСЯТ ВОСЬМА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EA01B7" w:rsidRPr="004854F8" w:rsidRDefault="00EA01B7" w:rsidP="00EA01B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EA01B7" w:rsidRPr="00A87F4A" w:rsidRDefault="00EA01B7" w:rsidP="00EA01B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EA01B7" w:rsidRPr="004854F8" w:rsidRDefault="00EA01B7" w:rsidP="00EA01B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EA01B7" w:rsidRDefault="00EA01B7" w:rsidP="00EA01B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22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07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Ромни</w:t>
      </w:r>
    </w:p>
    <w:p w:rsidR="00384023" w:rsidRPr="00EA01B7" w:rsidRDefault="00384023" w:rsidP="00384023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384023" w:rsidRPr="009E2EAE" w:rsidRDefault="009E2EAE" w:rsidP="001A3E3E">
      <w:pPr>
        <w:spacing w:after="0"/>
        <w:ind w:right="-1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lang w:val="uk-UA"/>
        </w:rPr>
        <w:t>Про внесення змін до рішення міської ради від 22.04.2020 року «</w:t>
      </w:r>
      <w:r w:rsidR="00384023" w:rsidRPr="009E2EAE">
        <w:rPr>
          <w:rFonts w:ascii="Times New Roman" w:hAnsi="Times New Roman"/>
          <w:b/>
          <w:lang w:val="uk-UA"/>
        </w:rPr>
        <w:t xml:space="preserve">Про затвердження Програми </w:t>
      </w:r>
      <w:r w:rsidR="0074398C" w:rsidRPr="009E2EAE">
        <w:rPr>
          <w:rFonts w:ascii="Times New Roman" w:hAnsi="Times New Roman"/>
          <w:b/>
          <w:lang w:val="uk-UA"/>
        </w:rPr>
        <w:t>фінансової підтримки комунального</w:t>
      </w:r>
      <w:r w:rsidR="00384023" w:rsidRPr="009E2EAE">
        <w:rPr>
          <w:rFonts w:ascii="Times New Roman" w:hAnsi="Times New Roman"/>
          <w:b/>
          <w:lang w:val="uk-UA"/>
        </w:rPr>
        <w:t xml:space="preserve"> підприємств</w:t>
      </w:r>
      <w:r w:rsidR="0074398C" w:rsidRPr="009E2EAE">
        <w:rPr>
          <w:rFonts w:ascii="Times New Roman" w:hAnsi="Times New Roman"/>
          <w:b/>
          <w:lang w:val="uk-UA"/>
        </w:rPr>
        <w:t>а «Міськводоканал»</w:t>
      </w:r>
      <w:r w:rsidR="00384023" w:rsidRPr="009E2EAE">
        <w:rPr>
          <w:rFonts w:ascii="Times New Roman" w:hAnsi="Times New Roman"/>
          <w:b/>
          <w:lang w:val="uk-UA"/>
        </w:rPr>
        <w:t xml:space="preserve"> </w:t>
      </w:r>
      <w:r w:rsidR="00227DC9" w:rsidRPr="009E2EAE">
        <w:rPr>
          <w:rFonts w:ascii="Times New Roman" w:hAnsi="Times New Roman"/>
          <w:b/>
          <w:lang w:val="uk-UA"/>
        </w:rPr>
        <w:t xml:space="preserve">Роменської міської ради </w:t>
      </w:r>
      <w:r w:rsidR="0074398C" w:rsidRPr="009E2EAE">
        <w:rPr>
          <w:rFonts w:ascii="Times New Roman" w:hAnsi="Times New Roman"/>
          <w:b/>
          <w:lang w:val="uk-UA"/>
        </w:rPr>
        <w:t>на 2020</w:t>
      </w:r>
      <w:r w:rsidR="00384023" w:rsidRPr="009E2EAE">
        <w:rPr>
          <w:rFonts w:ascii="Times New Roman" w:hAnsi="Times New Roman"/>
          <w:b/>
          <w:lang w:val="uk-UA"/>
        </w:rPr>
        <w:t xml:space="preserve"> рік</w:t>
      </w:r>
      <w:r>
        <w:rPr>
          <w:rFonts w:ascii="Times New Roman" w:hAnsi="Times New Roman"/>
          <w:b/>
          <w:lang w:val="uk-UA"/>
        </w:rPr>
        <w:t>»</w:t>
      </w:r>
    </w:p>
    <w:p w:rsidR="00384023" w:rsidRPr="00EA01B7" w:rsidRDefault="00384023" w:rsidP="00384023">
      <w:pPr>
        <w:spacing w:after="0" w:line="240" w:lineRule="auto"/>
        <w:ind w:right="4251"/>
        <w:jc w:val="both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:rsidR="0074398C" w:rsidRPr="00724130" w:rsidRDefault="0099590A" w:rsidP="0099590A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3"/>
          <w:szCs w:val="23"/>
          <w:lang w:val="uk-UA"/>
        </w:rPr>
      </w:pPr>
      <w:r w:rsidRPr="00724130">
        <w:rPr>
          <w:rFonts w:ascii="Times New Roman" w:hAnsi="Times New Roman"/>
          <w:sz w:val="23"/>
          <w:szCs w:val="23"/>
          <w:lang w:val="uk-UA"/>
        </w:rPr>
        <w:t>Відповідно до пункту 22 статті 26 Закону України «Про місцеве самоврядування в Україні», з</w:t>
      </w:r>
      <w:r w:rsidR="00384023" w:rsidRPr="00724130">
        <w:rPr>
          <w:rFonts w:ascii="Times New Roman" w:hAnsi="Times New Roman"/>
          <w:sz w:val="23"/>
          <w:szCs w:val="23"/>
          <w:lang w:val="uk-UA"/>
        </w:rPr>
        <w:t xml:space="preserve"> метою </w:t>
      </w:r>
      <w:r w:rsidR="00EF1EA1" w:rsidRPr="00724130">
        <w:rPr>
          <w:rFonts w:ascii="Times New Roman" w:hAnsi="Times New Roman"/>
          <w:sz w:val="23"/>
          <w:szCs w:val="23"/>
          <w:lang w:val="uk-UA"/>
        </w:rPr>
        <w:t>забезпечення функціонування комунального підприємства та надання йому можливості стати надавачем послуг з водопостачання та водовідведення</w:t>
      </w:r>
    </w:p>
    <w:p w:rsidR="00384023" w:rsidRDefault="00384023" w:rsidP="007541F9">
      <w:pPr>
        <w:spacing w:before="120" w:after="12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9E2EAE">
        <w:rPr>
          <w:rFonts w:ascii="Times New Roman" w:hAnsi="Times New Roman"/>
          <w:color w:val="000000"/>
        </w:rPr>
        <w:t>МІСЬКА РАДА ВИРІШИЛА:</w:t>
      </w:r>
    </w:p>
    <w:p w:rsidR="00724130" w:rsidRPr="00217701" w:rsidRDefault="00217701" w:rsidP="001A3E3E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3"/>
          <w:szCs w:val="23"/>
          <w:lang w:val="uk-UA"/>
        </w:rPr>
      </w:pPr>
      <w:r w:rsidRPr="007541F9">
        <w:rPr>
          <w:rFonts w:ascii="Times New Roman" w:hAnsi="Times New Roman"/>
          <w:sz w:val="23"/>
          <w:szCs w:val="23"/>
          <w:lang w:val="uk-UA"/>
        </w:rPr>
        <w:t xml:space="preserve">Внести зміни до </w:t>
      </w:r>
      <w:r w:rsidRPr="00724130">
        <w:rPr>
          <w:rFonts w:ascii="Times New Roman" w:hAnsi="Times New Roman"/>
          <w:sz w:val="23"/>
          <w:szCs w:val="23"/>
          <w:lang w:val="uk-UA"/>
        </w:rPr>
        <w:t>Програми фінансової підтримки комунального підприємства «Міськводоканал» Роменської міської ради на 2020 рік</w:t>
      </w:r>
      <w:r w:rsidRPr="00217701">
        <w:rPr>
          <w:rFonts w:ascii="Times New Roman" w:hAnsi="Times New Roman"/>
          <w:sz w:val="23"/>
          <w:szCs w:val="23"/>
          <w:lang w:val="uk-UA"/>
        </w:rPr>
        <w:t>, затвердженої рішенням міської ради від 2</w:t>
      </w:r>
      <w:r w:rsidRPr="00724130">
        <w:rPr>
          <w:rFonts w:ascii="Times New Roman" w:hAnsi="Times New Roman"/>
          <w:sz w:val="23"/>
          <w:szCs w:val="23"/>
          <w:lang w:val="uk-UA"/>
        </w:rPr>
        <w:t>2</w:t>
      </w:r>
      <w:r w:rsidRPr="00217701">
        <w:rPr>
          <w:rFonts w:ascii="Times New Roman" w:hAnsi="Times New Roman"/>
          <w:sz w:val="23"/>
          <w:szCs w:val="23"/>
          <w:lang w:val="uk-UA"/>
        </w:rPr>
        <w:t>.</w:t>
      </w:r>
      <w:r w:rsidRPr="00724130">
        <w:rPr>
          <w:rFonts w:ascii="Times New Roman" w:hAnsi="Times New Roman"/>
          <w:sz w:val="23"/>
          <w:szCs w:val="23"/>
          <w:lang w:val="uk-UA"/>
        </w:rPr>
        <w:t>04</w:t>
      </w:r>
      <w:r w:rsidRPr="00217701">
        <w:rPr>
          <w:rFonts w:ascii="Times New Roman" w:hAnsi="Times New Roman"/>
          <w:sz w:val="23"/>
          <w:szCs w:val="23"/>
          <w:lang w:val="uk-UA"/>
        </w:rPr>
        <w:t>.20</w:t>
      </w:r>
      <w:r w:rsidRPr="00724130">
        <w:rPr>
          <w:rFonts w:ascii="Times New Roman" w:hAnsi="Times New Roman"/>
          <w:sz w:val="23"/>
          <w:szCs w:val="23"/>
          <w:lang w:val="uk-UA"/>
        </w:rPr>
        <w:t>20</w:t>
      </w:r>
      <w:r w:rsidRPr="007541F9">
        <w:rPr>
          <w:rFonts w:ascii="Times New Roman" w:hAnsi="Times New Roman"/>
          <w:sz w:val="23"/>
          <w:szCs w:val="23"/>
          <w:lang w:val="uk-UA"/>
        </w:rPr>
        <w:t>, виклавши додаток до Програми «Обсяги фінансування «Програми фінансової підтримки комунального підприємства «Міськводоканал» Роменської міської ради на 2020 рік»  в наступній редакції: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4253"/>
        <w:gridCol w:w="1559"/>
        <w:gridCol w:w="1417"/>
      </w:tblGrid>
      <w:tr w:rsidR="00217701" w:rsidRPr="00217701" w:rsidTr="00217701">
        <w:tc>
          <w:tcPr>
            <w:tcW w:w="568" w:type="dxa"/>
            <w:vMerge w:val="restart"/>
            <w:vAlign w:val="center"/>
          </w:tcPr>
          <w:p w:rsidR="00217701" w:rsidRPr="00217701" w:rsidRDefault="00217701" w:rsidP="002177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b/>
                <w:sz w:val="23"/>
                <w:szCs w:val="23"/>
                <w:lang w:val="uk-UA" w:eastAsia="en-US"/>
              </w:rPr>
              <w:t>№ з/п</w:t>
            </w:r>
          </w:p>
        </w:tc>
        <w:tc>
          <w:tcPr>
            <w:tcW w:w="1984" w:type="dxa"/>
            <w:vMerge w:val="restart"/>
            <w:vAlign w:val="center"/>
          </w:tcPr>
          <w:p w:rsidR="00217701" w:rsidRPr="00217701" w:rsidRDefault="00217701" w:rsidP="002177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b/>
                <w:sz w:val="23"/>
                <w:szCs w:val="23"/>
                <w:lang w:val="uk-UA" w:eastAsia="en-US"/>
              </w:rPr>
              <w:t>Найменування комунального</w:t>
            </w:r>
          </w:p>
          <w:p w:rsidR="00217701" w:rsidRPr="00217701" w:rsidRDefault="00217701" w:rsidP="002177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b/>
                <w:sz w:val="23"/>
                <w:szCs w:val="23"/>
                <w:lang w:val="uk-UA" w:eastAsia="en-US"/>
              </w:rPr>
              <w:t>підприємства</w:t>
            </w:r>
          </w:p>
        </w:tc>
        <w:tc>
          <w:tcPr>
            <w:tcW w:w="4253" w:type="dxa"/>
            <w:vMerge w:val="restart"/>
            <w:vAlign w:val="center"/>
          </w:tcPr>
          <w:p w:rsidR="00217701" w:rsidRPr="00217701" w:rsidRDefault="00217701" w:rsidP="002177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b/>
                <w:sz w:val="23"/>
                <w:szCs w:val="23"/>
                <w:lang w:val="uk-UA" w:eastAsia="en-US"/>
              </w:rPr>
              <w:t>Заходи</w:t>
            </w:r>
          </w:p>
        </w:tc>
        <w:tc>
          <w:tcPr>
            <w:tcW w:w="2976" w:type="dxa"/>
            <w:gridSpan w:val="2"/>
            <w:vAlign w:val="center"/>
          </w:tcPr>
          <w:p w:rsidR="00217701" w:rsidRPr="00217701" w:rsidRDefault="00217701" w:rsidP="002177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b/>
                <w:sz w:val="23"/>
                <w:szCs w:val="23"/>
                <w:lang w:val="uk-UA" w:eastAsia="en-US"/>
              </w:rPr>
              <w:t>Обсяги фінансування, грн.</w:t>
            </w:r>
          </w:p>
        </w:tc>
      </w:tr>
      <w:tr w:rsidR="00217701" w:rsidRPr="00217701" w:rsidTr="00217701">
        <w:tc>
          <w:tcPr>
            <w:tcW w:w="568" w:type="dxa"/>
            <w:vMerge/>
          </w:tcPr>
          <w:p w:rsidR="00217701" w:rsidRPr="00217701" w:rsidRDefault="00217701" w:rsidP="002177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</w:p>
        </w:tc>
        <w:tc>
          <w:tcPr>
            <w:tcW w:w="1984" w:type="dxa"/>
            <w:vMerge/>
          </w:tcPr>
          <w:p w:rsidR="00217701" w:rsidRPr="00217701" w:rsidRDefault="00217701" w:rsidP="002177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</w:p>
        </w:tc>
        <w:tc>
          <w:tcPr>
            <w:tcW w:w="4253" w:type="dxa"/>
            <w:vMerge/>
          </w:tcPr>
          <w:p w:rsidR="00217701" w:rsidRPr="00217701" w:rsidRDefault="00217701" w:rsidP="002177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</w:p>
        </w:tc>
        <w:tc>
          <w:tcPr>
            <w:tcW w:w="1559" w:type="dxa"/>
            <w:vAlign w:val="center"/>
          </w:tcPr>
          <w:p w:rsidR="00217701" w:rsidRPr="00217701" w:rsidRDefault="00217701" w:rsidP="002177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b/>
                <w:sz w:val="23"/>
                <w:szCs w:val="23"/>
                <w:lang w:val="uk-UA" w:eastAsia="en-US"/>
              </w:rPr>
              <w:t>Поточні видатки</w:t>
            </w:r>
          </w:p>
        </w:tc>
        <w:tc>
          <w:tcPr>
            <w:tcW w:w="1417" w:type="dxa"/>
            <w:vAlign w:val="center"/>
          </w:tcPr>
          <w:p w:rsidR="00217701" w:rsidRPr="00217701" w:rsidRDefault="00217701" w:rsidP="002177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b/>
                <w:sz w:val="23"/>
                <w:szCs w:val="23"/>
                <w:lang w:val="uk-UA" w:eastAsia="en-US"/>
              </w:rPr>
              <w:t>Капітальні видатки</w:t>
            </w:r>
          </w:p>
        </w:tc>
      </w:tr>
      <w:tr w:rsidR="00217701" w:rsidRPr="00217701" w:rsidTr="00217701">
        <w:trPr>
          <w:trHeight w:val="5316"/>
        </w:trPr>
        <w:tc>
          <w:tcPr>
            <w:tcW w:w="568" w:type="dxa"/>
          </w:tcPr>
          <w:p w:rsidR="00217701" w:rsidRPr="00217701" w:rsidRDefault="00217701" w:rsidP="00217701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1984" w:type="dxa"/>
          </w:tcPr>
          <w:p w:rsidR="00217701" w:rsidRPr="00217701" w:rsidRDefault="00217701" w:rsidP="00217701">
            <w:pPr>
              <w:spacing w:after="0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/>
              </w:rPr>
              <w:t>КП «Міськводо-канал» РМР»</w:t>
            </w:r>
          </w:p>
        </w:tc>
        <w:tc>
          <w:tcPr>
            <w:tcW w:w="4253" w:type="dxa"/>
          </w:tcPr>
          <w:p w:rsidR="00217701" w:rsidRPr="00217701" w:rsidRDefault="00217701" w:rsidP="007541F9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Заробітна плата та нарахування на неї</w:t>
            </w:r>
          </w:p>
          <w:p w:rsidR="00217701" w:rsidRPr="00217701" w:rsidRDefault="00217701" w:rsidP="007541F9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Придбання канцтоварів, меблів</w:t>
            </w:r>
          </w:p>
          <w:p w:rsidR="00217701" w:rsidRPr="00217701" w:rsidRDefault="00217701" w:rsidP="007541F9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Витрати на Інтернет та телефон</w:t>
            </w:r>
          </w:p>
          <w:p w:rsidR="00217701" w:rsidRPr="00217701" w:rsidRDefault="00217701" w:rsidP="007541F9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Обслуговування комп’ютерних програм</w:t>
            </w:r>
          </w:p>
          <w:p w:rsidR="00217701" w:rsidRPr="00217701" w:rsidRDefault="00217701" w:rsidP="007541F9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Витрати на електроенергію</w:t>
            </w:r>
          </w:p>
          <w:p w:rsidR="00217701" w:rsidRPr="00217701" w:rsidRDefault="00217701" w:rsidP="007541F9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Витрати на відрядження</w:t>
            </w:r>
          </w:p>
          <w:p w:rsidR="00217701" w:rsidRPr="00217701" w:rsidRDefault="00217701" w:rsidP="007541F9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Інші поточні витрати</w:t>
            </w:r>
          </w:p>
          <w:p w:rsidR="00217701" w:rsidRPr="00217701" w:rsidRDefault="00217701" w:rsidP="007541F9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Придбання ліцензій, усього:</w:t>
            </w:r>
          </w:p>
          <w:p w:rsidR="00217701" w:rsidRPr="00217701" w:rsidRDefault="00217701" w:rsidP="007541F9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 xml:space="preserve">з них: </w:t>
            </w:r>
          </w:p>
          <w:p w:rsidR="00217701" w:rsidRPr="00217701" w:rsidRDefault="00217701" w:rsidP="007541F9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hAnsi="Times New Roman"/>
                <w:sz w:val="23"/>
                <w:szCs w:val="23"/>
                <w:shd w:val="clear" w:color="auto" w:fill="FFFFFF"/>
                <w:lang w:val="uk-UA"/>
              </w:rPr>
              <w:t>1) Державна служба геології та надр України;</w:t>
            </w:r>
          </w:p>
          <w:p w:rsidR="00217701" w:rsidRPr="00217701" w:rsidRDefault="00217701" w:rsidP="007541F9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 xml:space="preserve">2) </w:t>
            </w:r>
            <w:r w:rsidRPr="00217701">
              <w:rPr>
                <w:rFonts w:ascii="Times New Roman" w:hAnsi="Times New Roman"/>
                <w:sz w:val="23"/>
                <w:szCs w:val="23"/>
                <w:shd w:val="clear" w:color="auto" w:fill="FFFFFF"/>
                <w:lang w:val="uk-UA"/>
              </w:rPr>
              <w:t>Державна служба геології та надр України;</w:t>
            </w:r>
          </w:p>
          <w:p w:rsidR="00217701" w:rsidRPr="00217701" w:rsidRDefault="00217701" w:rsidP="007541F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 xml:space="preserve">3) </w:t>
            </w:r>
            <w:r w:rsidRPr="00217701">
              <w:rPr>
                <w:rFonts w:ascii="Times New Roman" w:eastAsia="Calibri" w:hAnsi="Times New Roman"/>
                <w:color w:val="000000"/>
                <w:sz w:val="23"/>
                <w:szCs w:val="23"/>
                <w:lang w:val="uk-UA" w:eastAsia="en-US"/>
              </w:rPr>
              <w:t>Державне агентство водних ресурсів</w:t>
            </w:r>
          </w:p>
          <w:p w:rsidR="00217701" w:rsidRPr="00217701" w:rsidRDefault="00217701" w:rsidP="007541F9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4) Сумська обласна державна адміністрація.</w:t>
            </w:r>
          </w:p>
          <w:p w:rsidR="00217701" w:rsidRPr="00217701" w:rsidRDefault="00217701" w:rsidP="007541F9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Придбання комп’ютерної та офісної техніки</w:t>
            </w:r>
          </w:p>
          <w:p w:rsidR="00217701" w:rsidRPr="00217701" w:rsidRDefault="00217701" w:rsidP="007541F9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Програмне забезпечення</w:t>
            </w:r>
          </w:p>
        </w:tc>
        <w:tc>
          <w:tcPr>
            <w:tcW w:w="1559" w:type="dxa"/>
          </w:tcPr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260 080,00</w:t>
            </w: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21 200,00</w:t>
            </w: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6 000,00</w:t>
            </w: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10 000,00</w:t>
            </w: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600 000,00</w:t>
            </w: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6 000,00</w:t>
            </w: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20 000,00</w:t>
            </w: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1 124 723,00</w:t>
            </w: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700 000,00</w:t>
            </w: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220 000,00</w:t>
            </w: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200 000,00</w:t>
            </w: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4 723,00</w:t>
            </w: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141 000,00</w:t>
            </w: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</w:p>
          <w:p w:rsidR="00217701" w:rsidRPr="00217701" w:rsidRDefault="00217701" w:rsidP="007541F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16 700,00</w:t>
            </w:r>
          </w:p>
        </w:tc>
        <w:tc>
          <w:tcPr>
            <w:tcW w:w="1417" w:type="dxa"/>
          </w:tcPr>
          <w:p w:rsidR="00217701" w:rsidRPr="00217701" w:rsidRDefault="00217701" w:rsidP="00217701">
            <w:pPr>
              <w:spacing w:after="0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-</w:t>
            </w:r>
          </w:p>
          <w:p w:rsidR="00217701" w:rsidRPr="00217701" w:rsidRDefault="00217701" w:rsidP="00217701">
            <w:pPr>
              <w:spacing w:after="0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</w:p>
          <w:p w:rsidR="00217701" w:rsidRPr="00217701" w:rsidRDefault="00217701" w:rsidP="00217701">
            <w:pPr>
              <w:spacing w:after="0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</w:p>
          <w:p w:rsidR="00217701" w:rsidRPr="00217701" w:rsidRDefault="00217701" w:rsidP="00217701">
            <w:pPr>
              <w:spacing w:after="0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</w:p>
          <w:p w:rsidR="00217701" w:rsidRPr="00217701" w:rsidRDefault="00217701" w:rsidP="00217701">
            <w:pPr>
              <w:spacing w:after="0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</w:p>
          <w:p w:rsidR="00217701" w:rsidRPr="00217701" w:rsidRDefault="00217701" w:rsidP="00217701">
            <w:pPr>
              <w:spacing w:after="0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</w:p>
          <w:p w:rsidR="00217701" w:rsidRPr="00217701" w:rsidRDefault="00217701" w:rsidP="00217701">
            <w:pPr>
              <w:spacing w:after="0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</w:p>
          <w:p w:rsidR="00217701" w:rsidRPr="00217701" w:rsidRDefault="00217701" w:rsidP="002177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</w:p>
        </w:tc>
      </w:tr>
      <w:tr w:rsidR="00217701" w:rsidRPr="00217701" w:rsidTr="007541F9">
        <w:trPr>
          <w:trHeight w:val="222"/>
        </w:trPr>
        <w:tc>
          <w:tcPr>
            <w:tcW w:w="568" w:type="dxa"/>
          </w:tcPr>
          <w:p w:rsidR="00217701" w:rsidRPr="00217701" w:rsidRDefault="00217701" w:rsidP="00217701">
            <w:pPr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</w:p>
        </w:tc>
        <w:tc>
          <w:tcPr>
            <w:tcW w:w="1984" w:type="dxa"/>
          </w:tcPr>
          <w:p w:rsidR="00217701" w:rsidRPr="00217701" w:rsidRDefault="00217701" w:rsidP="00217701">
            <w:pPr>
              <w:rPr>
                <w:rFonts w:ascii="Times New Roman" w:eastAsia="Calibri" w:hAnsi="Times New Roman"/>
                <w:sz w:val="23"/>
                <w:szCs w:val="23"/>
                <w:lang w:val="uk-UA"/>
              </w:rPr>
            </w:pPr>
          </w:p>
        </w:tc>
        <w:tc>
          <w:tcPr>
            <w:tcW w:w="4253" w:type="dxa"/>
          </w:tcPr>
          <w:p w:rsidR="00217701" w:rsidRPr="00217701" w:rsidRDefault="00217701" w:rsidP="00217701">
            <w:pPr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Разом:</w:t>
            </w:r>
          </w:p>
        </w:tc>
        <w:tc>
          <w:tcPr>
            <w:tcW w:w="2976" w:type="dxa"/>
            <w:gridSpan w:val="2"/>
          </w:tcPr>
          <w:p w:rsidR="00217701" w:rsidRPr="00217701" w:rsidRDefault="00217701" w:rsidP="001A3E3E">
            <w:pPr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</w:pPr>
            <w:r w:rsidRPr="00217701">
              <w:rPr>
                <w:rFonts w:ascii="Times New Roman" w:eastAsia="Calibri" w:hAnsi="Times New Roman"/>
                <w:sz w:val="23"/>
                <w:szCs w:val="23"/>
                <w:lang w:val="uk-UA" w:eastAsia="en-US"/>
              </w:rPr>
              <w:t>2 205 703,00</w:t>
            </w:r>
          </w:p>
        </w:tc>
      </w:tr>
    </w:tbl>
    <w:p w:rsidR="00724130" w:rsidRDefault="00724130" w:rsidP="001A3E3E">
      <w:pPr>
        <w:pStyle w:val="a4"/>
        <w:spacing w:after="0" w:line="276" w:lineRule="auto"/>
        <w:ind w:left="425"/>
        <w:jc w:val="both"/>
        <w:rPr>
          <w:sz w:val="22"/>
          <w:szCs w:val="22"/>
          <w:lang w:val="uk-UA"/>
        </w:rPr>
      </w:pPr>
    </w:p>
    <w:p w:rsidR="001A3E3E" w:rsidRDefault="001A3E3E" w:rsidP="001A3E3E">
      <w:pPr>
        <w:pStyle w:val="a4"/>
        <w:spacing w:after="0" w:line="276" w:lineRule="auto"/>
        <w:ind w:left="425"/>
        <w:jc w:val="both"/>
        <w:rPr>
          <w:sz w:val="22"/>
          <w:szCs w:val="22"/>
          <w:lang w:val="uk-UA"/>
        </w:rPr>
      </w:pPr>
    </w:p>
    <w:p w:rsidR="002131F4" w:rsidRPr="009E2EAE" w:rsidRDefault="008428FE" w:rsidP="001A3E3E">
      <w:pPr>
        <w:jc w:val="both"/>
        <w:rPr>
          <w:rFonts w:ascii="Times New Roman" w:hAnsi="Times New Roman"/>
          <w:lang w:val="uk-UA"/>
        </w:rPr>
      </w:pPr>
      <w:r w:rsidRPr="009E2EAE">
        <w:rPr>
          <w:rFonts w:ascii="Times New Roman" w:eastAsia="Calibri" w:hAnsi="Times New Roman"/>
          <w:b/>
          <w:lang w:val="uk-UA" w:eastAsia="en-US"/>
        </w:rPr>
        <w:t xml:space="preserve">Міський голова                                                                                        </w:t>
      </w:r>
      <w:r w:rsidR="00724130">
        <w:rPr>
          <w:rFonts w:ascii="Times New Roman" w:eastAsia="Calibri" w:hAnsi="Times New Roman"/>
          <w:b/>
          <w:lang w:val="uk-UA" w:eastAsia="en-US"/>
        </w:rPr>
        <w:t xml:space="preserve">               </w:t>
      </w:r>
      <w:r w:rsidRPr="009E2EAE">
        <w:rPr>
          <w:rFonts w:ascii="Times New Roman" w:eastAsia="Calibri" w:hAnsi="Times New Roman"/>
          <w:b/>
          <w:lang w:val="uk-UA" w:eastAsia="en-US"/>
        </w:rPr>
        <w:t xml:space="preserve">  Сергій САЛАТУН</w:t>
      </w:r>
      <w:r w:rsidRPr="009E2EAE">
        <w:rPr>
          <w:rFonts w:ascii="Times New Roman" w:hAnsi="Times New Roman"/>
          <w:lang w:val="uk-UA"/>
        </w:rPr>
        <w:t xml:space="preserve"> </w:t>
      </w:r>
    </w:p>
    <w:sectPr w:rsidR="002131F4" w:rsidRPr="009E2EAE" w:rsidSect="007541F9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4EE9"/>
    <w:multiLevelType w:val="hybridMultilevel"/>
    <w:tmpl w:val="52A62648"/>
    <w:lvl w:ilvl="0" w:tplc="F10ABDF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EF17BE"/>
    <w:multiLevelType w:val="hybridMultilevel"/>
    <w:tmpl w:val="F77A8828"/>
    <w:lvl w:ilvl="0" w:tplc="F5E02CF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5A2EC1"/>
    <w:multiLevelType w:val="hybridMultilevel"/>
    <w:tmpl w:val="2266F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77C64"/>
    <w:multiLevelType w:val="hybridMultilevel"/>
    <w:tmpl w:val="15A48A2A"/>
    <w:lvl w:ilvl="0" w:tplc="C0306D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hyphenationZone w:val="425"/>
  <w:characterSpacingControl w:val="doNotCompress"/>
  <w:compat/>
  <w:rsids>
    <w:rsidRoot w:val="008C1B13"/>
    <w:rsid w:val="00012E65"/>
    <w:rsid w:val="00015931"/>
    <w:rsid w:val="000278C7"/>
    <w:rsid w:val="00046B8A"/>
    <w:rsid w:val="00086E94"/>
    <w:rsid w:val="000977E3"/>
    <w:rsid w:val="000A3345"/>
    <w:rsid w:val="000F1EAE"/>
    <w:rsid w:val="00124054"/>
    <w:rsid w:val="0017064D"/>
    <w:rsid w:val="001A3E3E"/>
    <w:rsid w:val="001A607D"/>
    <w:rsid w:val="001E2E75"/>
    <w:rsid w:val="0021177E"/>
    <w:rsid w:val="002131F4"/>
    <w:rsid w:val="00217701"/>
    <w:rsid w:val="00222706"/>
    <w:rsid w:val="00227DC9"/>
    <w:rsid w:val="002458B6"/>
    <w:rsid w:val="002478D5"/>
    <w:rsid w:val="0027377C"/>
    <w:rsid w:val="002909F2"/>
    <w:rsid w:val="0035554B"/>
    <w:rsid w:val="00381367"/>
    <w:rsid w:val="00384023"/>
    <w:rsid w:val="003A0931"/>
    <w:rsid w:val="003A4A4B"/>
    <w:rsid w:val="003D0B9A"/>
    <w:rsid w:val="003D185E"/>
    <w:rsid w:val="003D57A4"/>
    <w:rsid w:val="003E094B"/>
    <w:rsid w:val="003E207F"/>
    <w:rsid w:val="00414D80"/>
    <w:rsid w:val="00416F41"/>
    <w:rsid w:val="004741D9"/>
    <w:rsid w:val="004A0A74"/>
    <w:rsid w:val="004A258A"/>
    <w:rsid w:val="004B7648"/>
    <w:rsid w:val="004C4C0E"/>
    <w:rsid w:val="004E4C3C"/>
    <w:rsid w:val="0052781B"/>
    <w:rsid w:val="0057176F"/>
    <w:rsid w:val="00571B06"/>
    <w:rsid w:val="00575157"/>
    <w:rsid w:val="0058399B"/>
    <w:rsid w:val="005D0B15"/>
    <w:rsid w:val="00616262"/>
    <w:rsid w:val="006549A6"/>
    <w:rsid w:val="006D4700"/>
    <w:rsid w:val="006D71B0"/>
    <w:rsid w:val="0070380F"/>
    <w:rsid w:val="00707C09"/>
    <w:rsid w:val="00710BC2"/>
    <w:rsid w:val="00724130"/>
    <w:rsid w:val="0074398C"/>
    <w:rsid w:val="00751EDC"/>
    <w:rsid w:val="007541F9"/>
    <w:rsid w:val="00755331"/>
    <w:rsid w:val="007715CF"/>
    <w:rsid w:val="007F255F"/>
    <w:rsid w:val="00801893"/>
    <w:rsid w:val="00812FB4"/>
    <w:rsid w:val="00821F70"/>
    <w:rsid w:val="00840FA4"/>
    <w:rsid w:val="008428FE"/>
    <w:rsid w:val="008502C3"/>
    <w:rsid w:val="00856987"/>
    <w:rsid w:val="00884846"/>
    <w:rsid w:val="008A1FCB"/>
    <w:rsid w:val="008C1B13"/>
    <w:rsid w:val="008E1169"/>
    <w:rsid w:val="008E3672"/>
    <w:rsid w:val="0093026E"/>
    <w:rsid w:val="00953905"/>
    <w:rsid w:val="0096033C"/>
    <w:rsid w:val="00984594"/>
    <w:rsid w:val="00993C3D"/>
    <w:rsid w:val="0099590A"/>
    <w:rsid w:val="009E2EAE"/>
    <w:rsid w:val="00A240A9"/>
    <w:rsid w:val="00A347DE"/>
    <w:rsid w:val="00A35E99"/>
    <w:rsid w:val="00A94629"/>
    <w:rsid w:val="00AA0387"/>
    <w:rsid w:val="00AA7CE1"/>
    <w:rsid w:val="00AD38CE"/>
    <w:rsid w:val="00AD3DC3"/>
    <w:rsid w:val="00AE4A5F"/>
    <w:rsid w:val="00B61C8C"/>
    <w:rsid w:val="00B72F33"/>
    <w:rsid w:val="00B86F68"/>
    <w:rsid w:val="00BF19D9"/>
    <w:rsid w:val="00CA30DE"/>
    <w:rsid w:val="00CD6955"/>
    <w:rsid w:val="00D51271"/>
    <w:rsid w:val="00D644BD"/>
    <w:rsid w:val="00D91474"/>
    <w:rsid w:val="00DB0FBD"/>
    <w:rsid w:val="00E162CC"/>
    <w:rsid w:val="00E85A9F"/>
    <w:rsid w:val="00E87CB8"/>
    <w:rsid w:val="00E905A8"/>
    <w:rsid w:val="00EA01B7"/>
    <w:rsid w:val="00EC7640"/>
    <w:rsid w:val="00EF1EA1"/>
    <w:rsid w:val="00F226B9"/>
    <w:rsid w:val="00F90758"/>
    <w:rsid w:val="00FD075D"/>
    <w:rsid w:val="00FD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1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8402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84023"/>
    <w:pPr>
      <w:keepNext/>
      <w:spacing w:before="240" w:after="60" w:line="240" w:lineRule="auto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1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rsid w:val="008C1B13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5">
    <w:name w:val="Основной текст с отступом Знак"/>
    <w:link w:val="a4"/>
    <w:rsid w:val="008C1B1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9845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22"/>
    <w:qFormat/>
    <w:rsid w:val="00984594"/>
    <w:rPr>
      <w:b/>
      <w:bCs/>
    </w:rPr>
  </w:style>
  <w:style w:type="character" w:customStyle="1" w:styleId="10">
    <w:name w:val="Заголовок 1 Знак"/>
    <w:link w:val="1"/>
    <w:uiPriority w:val="99"/>
    <w:rsid w:val="00384023"/>
    <w:rPr>
      <w:rFonts w:ascii="Times New Roman" w:eastAsia="Times New Roman" w:hAnsi="Times New Roman"/>
      <w:b/>
      <w:bCs/>
      <w:color w:val="000000"/>
      <w:sz w:val="24"/>
      <w:szCs w:val="24"/>
      <w:lang w:val="uk-UA"/>
    </w:rPr>
  </w:style>
  <w:style w:type="character" w:customStyle="1" w:styleId="30">
    <w:name w:val="Заголовок 3 Знак"/>
    <w:link w:val="3"/>
    <w:uiPriority w:val="99"/>
    <w:rsid w:val="00384023"/>
    <w:rPr>
      <w:rFonts w:ascii="Cambria" w:eastAsia="Times New Roman" w:hAnsi="Cambria"/>
      <w:b/>
      <w:bCs/>
      <w:color w:val="000000"/>
      <w:sz w:val="26"/>
      <w:szCs w:val="26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384023"/>
    <w:pPr>
      <w:spacing w:after="120" w:line="48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link w:val="2"/>
    <w:uiPriority w:val="99"/>
    <w:semiHidden/>
    <w:rsid w:val="00384023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502C3"/>
  </w:style>
  <w:style w:type="character" w:styleId="a8">
    <w:name w:val="Hyperlink"/>
    <w:rsid w:val="004A258A"/>
    <w:rPr>
      <w:color w:val="0000FF"/>
      <w:u w:val="single"/>
    </w:rPr>
  </w:style>
  <w:style w:type="paragraph" w:customStyle="1" w:styleId="NormalWeb1">
    <w:name w:val="Normal (Web)1"/>
    <w:basedOn w:val="a"/>
    <w:rsid w:val="004A258A"/>
    <w:pPr>
      <w:spacing w:before="100" w:after="100" w:line="240" w:lineRule="auto"/>
    </w:pPr>
    <w:rPr>
      <w:rFonts w:ascii="Times New Roman" w:hAnsi="Times New Roman"/>
      <w:sz w:val="24"/>
      <w:szCs w:val="2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Админ</cp:lastModifiedBy>
  <cp:revision>2</cp:revision>
  <cp:lastPrinted>2020-04-22T06:37:00Z</cp:lastPrinted>
  <dcterms:created xsi:type="dcterms:W3CDTF">2020-08-10T07:28:00Z</dcterms:created>
  <dcterms:modified xsi:type="dcterms:W3CDTF">2020-08-10T07:28:00Z</dcterms:modified>
</cp:coreProperties>
</file>