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429" w:rsidRPr="00055429" w:rsidRDefault="008C25B6" w:rsidP="000554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55429" w:rsidRPr="0005542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53390" cy="60960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429" w:rsidRPr="00055429" w:rsidRDefault="00055429" w:rsidP="000554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29">
        <w:rPr>
          <w:rFonts w:ascii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055429" w:rsidRPr="00055429" w:rsidRDefault="00055429" w:rsidP="00055429">
      <w:pPr>
        <w:pStyle w:val="1"/>
        <w:spacing w:line="276" w:lineRule="auto"/>
        <w:rPr>
          <w:color w:val="auto"/>
        </w:rPr>
      </w:pPr>
      <w:r w:rsidRPr="00055429">
        <w:rPr>
          <w:color w:val="auto"/>
        </w:rPr>
        <w:t>ВИКОНАВЧИЙ КОМІТЕТ</w:t>
      </w:r>
    </w:p>
    <w:p w:rsidR="00055429" w:rsidRPr="006E362C" w:rsidRDefault="00055429" w:rsidP="0005542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p w:rsidR="00055429" w:rsidRPr="00055429" w:rsidRDefault="00055429" w:rsidP="000554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055429">
        <w:rPr>
          <w:rFonts w:ascii="Times New Roman" w:hAnsi="Times New Roman" w:cs="Times New Roman"/>
          <w:b/>
          <w:sz w:val="24"/>
          <w:szCs w:val="24"/>
          <w:lang w:eastAsia="uk-UA"/>
        </w:rPr>
        <w:t>РІШЕННЯ</w:t>
      </w:r>
    </w:p>
    <w:p w:rsidR="00055429" w:rsidRPr="006E362C" w:rsidRDefault="00055429" w:rsidP="0005542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84"/>
        <w:gridCol w:w="3285"/>
        <w:gridCol w:w="3285"/>
      </w:tblGrid>
      <w:tr w:rsidR="00055429" w:rsidRPr="00055429" w:rsidTr="00ED46FF">
        <w:tc>
          <w:tcPr>
            <w:tcW w:w="3284" w:type="dxa"/>
          </w:tcPr>
          <w:p w:rsidR="00055429" w:rsidRPr="00055429" w:rsidRDefault="001E728A" w:rsidP="000554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15.07</w:t>
            </w:r>
            <w:r w:rsidR="00055429" w:rsidRPr="000554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285" w:type="dxa"/>
          </w:tcPr>
          <w:p w:rsidR="00055429" w:rsidRPr="00055429" w:rsidRDefault="00055429" w:rsidP="000554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55429">
              <w:rPr>
                <w:rFonts w:ascii="Times New Roman" w:hAnsi="Times New Roman" w:cs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</w:tcPr>
          <w:p w:rsidR="00055429" w:rsidRPr="00055429" w:rsidRDefault="00055429" w:rsidP="00BF60BE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5542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  <w:r w:rsidR="007A5FA3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552F5E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8</w:t>
            </w:r>
            <w:r w:rsidR="00BF60BE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4</w:t>
            </w:r>
          </w:p>
        </w:tc>
      </w:tr>
    </w:tbl>
    <w:p w:rsidR="00F47FA0" w:rsidRPr="006E362C" w:rsidRDefault="00F47FA0" w:rsidP="00C63F0F">
      <w:pPr>
        <w:spacing w:after="0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2"/>
      </w:tblGrid>
      <w:tr w:rsidR="004704DA" w:rsidTr="00650451">
        <w:tc>
          <w:tcPr>
            <w:tcW w:w="5778" w:type="dxa"/>
          </w:tcPr>
          <w:p w:rsidR="004704DA" w:rsidRPr="007A4193" w:rsidRDefault="004704DA" w:rsidP="00ED46F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4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 визначення </w:t>
            </w:r>
            <w:r w:rsidRPr="007A41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комунального підприємства «Комбінат комунальних підприємств» Роменської міської ради</w:t>
            </w:r>
            <w:r w:rsidRPr="007A4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одержувач</w:t>
            </w:r>
            <w:r w:rsidRPr="007A41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ем </w:t>
            </w:r>
            <w:r w:rsidRPr="007A4193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бюджетних коштів</w:t>
            </w:r>
          </w:p>
        </w:tc>
        <w:tc>
          <w:tcPr>
            <w:tcW w:w="3792" w:type="dxa"/>
          </w:tcPr>
          <w:p w:rsidR="004704DA" w:rsidRDefault="004704DA" w:rsidP="00ED46FF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</w:tbl>
    <w:p w:rsidR="006E362C" w:rsidRPr="007A5FA3" w:rsidRDefault="006E362C" w:rsidP="006E362C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055429" w:rsidRDefault="009A5114" w:rsidP="006E362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7B87">
        <w:rPr>
          <w:rFonts w:ascii="Times New Roman" w:hAnsi="Times New Roman" w:cs="Times New Roman"/>
          <w:sz w:val="24"/>
          <w:szCs w:val="24"/>
          <w:lang w:val="uk-UA"/>
        </w:rPr>
        <w:t>Відповідно до</w:t>
      </w:r>
      <w:r w:rsidR="008C25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5429" w:rsidRPr="00967B87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967B87">
        <w:rPr>
          <w:rFonts w:ascii="Times New Roman" w:hAnsi="Times New Roman" w:cs="Times New Roman"/>
          <w:sz w:val="24"/>
          <w:szCs w:val="24"/>
          <w:lang w:val="uk-UA"/>
        </w:rPr>
        <w:t>ідпункту</w:t>
      </w:r>
      <w:r w:rsidR="000D77E9" w:rsidRPr="00967B87">
        <w:rPr>
          <w:rFonts w:ascii="Times New Roman" w:hAnsi="Times New Roman" w:cs="Times New Roman"/>
          <w:sz w:val="24"/>
          <w:szCs w:val="24"/>
          <w:lang w:val="uk-UA"/>
        </w:rPr>
        <w:t xml:space="preserve"> 4 п</w:t>
      </w:r>
      <w:r w:rsidRPr="00967B87">
        <w:rPr>
          <w:rFonts w:ascii="Times New Roman" w:hAnsi="Times New Roman" w:cs="Times New Roman"/>
          <w:sz w:val="24"/>
          <w:szCs w:val="24"/>
          <w:lang w:val="uk-UA"/>
        </w:rPr>
        <w:t>ункту</w:t>
      </w:r>
      <w:r w:rsidR="000D77E9" w:rsidRPr="00967B87">
        <w:rPr>
          <w:rFonts w:ascii="Times New Roman" w:hAnsi="Times New Roman" w:cs="Times New Roman"/>
          <w:sz w:val="24"/>
          <w:szCs w:val="24"/>
          <w:lang w:val="uk-UA"/>
        </w:rPr>
        <w:t xml:space="preserve"> «а» ст</w:t>
      </w:r>
      <w:r w:rsidRPr="00967B87">
        <w:rPr>
          <w:rFonts w:ascii="Times New Roman" w:hAnsi="Times New Roman" w:cs="Times New Roman"/>
          <w:sz w:val="24"/>
          <w:szCs w:val="24"/>
          <w:lang w:val="uk-UA"/>
        </w:rPr>
        <w:t>атті</w:t>
      </w:r>
      <w:r w:rsidR="000D77E9" w:rsidRPr="00967B87">
        <w:rPr>
          <w:rFonts w:ascii="Times New Roman" w:hAnsi="Times New Roman" w:cs="Times New Roman"/>
          <w:sz w:val="24"/>
          <w:szCs w:val="24"/>
          <w:lang w:val="uk-UA"/>
        </w:rPr>
        <w:t xml:space="preserve"> 28</w:t>
      </w:r>
      <w:r w:rsidR="008C25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77E9" w:rsidRPr="00967B87">
        <w:rPr>
          <w:rFonts w:ascii="Times New Roman" w:hAnsi="Times New Roman" w:cs="Times New Roman"/>
          <w:sz w:val="24"/>
          <w:szCs w:val="24"/>
          <w:lang w:val="uk-UA"/>
        </w:rPr>
        <w:t>Закону України</w:t>
      </w:r>
      <w:r w:rsidR="000D77E9" w:rsidRPr="001A17B2">
        <w:rPr>
          <w:rFonts w:ascii="Times New Roman" w:hAnsi="Times New Roman" w:cs="Times New Roman"/>
          <w:sz w:val="24"/>
          <w:szCs w:val="24"/>
          <w:lang w:val="uk-UA"/>
        </w:rPr>
        <w:t xml:space="preserve"> «Про місцеве самоврядування в</w:t>
      </w:r>
      <w:r w:rsidR="008C25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77E9" w:rsidRPr="001A17B2">
        <w:rPr>
          <w:rFonts w:ascii="Times New Roman" w:hAnsi="Times New Roman" w:cs="Times New Roman"/>
          <w:sz w:val="24"/>
          <w:szCs w:val="24"/>
          <w:lang w:val="uk-UA"/>
        </w:rPr>
        <w:t xml:space="preserve">Україні», </w:t>
      </w:r>
      <w:r w:rsidR="00967B87">
        <w:rPr>
          <w:rFonts w:ascii="Times New Roman" w:hAnsi="Times New Roman" w:cs="Times New Roman"/>
          <w:sz w:val="24"/>
          <w:szCs w:val="24"/>
          <w:lang w:val="uk-UA"/>
        </w:rPr>
        <w:t xml:space="preserve">пункту 7 статті 20, </w:t>
      </w:r>
      <w:r w:rsidR="000D77E9" w:rsidRPr="00F47FA0">
        <w:rPr>
          <w:rFonts w:ascii="Times New Roman" w:hAnsi="Times New Roman" w:cs="Times New Roman"/>
          <w:sz w:val="24"/>
          <w:szCs w:val="24"/>
          <w:lang w:val="uk-UA"/>
        </w:rPr>
        <w:t>п</w:t>
      </w:r>
      <w:r>
        <w:rPr>
          <w:rFonts w:ascii="Times New Roman" w:hAnsi="Times New Roman" w:cs="Times New Roman"/>
          <w:sz w:val="24"/>
          <w:szCs w:val="24"/>
          <w:lang w:val="uk-UA"/>
        </w:rPr>
        <w:t>ункт</w:t>
      </w:r>
      <w:r w:rsidR="00967B87">
        <w:rPr>
          <w:rFonts w:ascii="Times New Roman" w:hAnsi="Times New Roman" w:cs="Times New Roman"/>
          <w:sz w:val="24"/>
          <w:szCs w:val="24"/>
          <w:lang w:val="uk-UA"/>
        </w:rPr>
        <w:t xml:space="preserve">ів 5, 6  статті 22 </w:t>
      </w:r>
      <w:r w:rsidR="000D77E9" w:rsidRPr="00F47FA0">
        <w:rPr>
          <w:rFonts w:ascii="Times New Roman" w:hAnsi="Times New Roman" w:cs="Times New Roman"/>
          <w:sz w:val="24"/>
          <w:szCs w:val="24"/>
          <w:lang w:val="uk-UA"/>
        </w:rPr>
        <w:t>Бюджетного Кодексу України, п</w:t>
      </w:r>
      <w:r>
        <w:rPr>
          <w:rFonts w:ascii="Times New Roman" w:hAnsi="Times New Roman" w:cs="Times New Roman"/>
          <w:sz w:val="24"/>
          <w:szCs w:val="24"/>
          <w:lang w:val="uk-UA"/>
        </w:rPr>
        <w:t>ункту</w:t>
      </w:r>
      <w:r w:rsidR="000D77E9"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 9 Порядку складання, розгляду, затвердження та основних вимог до виконання кошторисів бюджетних установ, затвердженого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0D77E9"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остановою Кабінету Міністрів України від 28 лютого 2002 року № 228, </w:t>
      </w:r>
    </w:p>
    <w:p w:rsidR="00055429" w:rsidRDefault="00055429" w:rsidP="006E362C">
      <w:pPr>
        <w:spacing w:before="12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5429">
        <w:rPr>
          <w:rFonts w:ascii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0D77E9" w:rsidRPr="00F75030" w:rsidRDefault="000D77E9" w:rsidP="001E728A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5030">
        <w:rPr>
          <w:rFonts w:ascii="Times New Roman" w:hAnsi="Times New Roman" w:cs="Times New Roman"/>
          <w:sz w:val="24"/>
          <w:szCs w:val="24"/>
          <w:lang w:val="uk-UA"/>
        </w:rPr>
        <w:t>1. Визначити  комунальне  підприємство  «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>Комбінат комунальних підприємств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>Роменської міської ради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 xml:space="preserve"> одержувачем  бюджетних  коштів  на</w:t>
      </w:r>
      <w:r w:rsidR="008C25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 xml:space="preserve">  рік  за  видатками  головного  розпорядника  бюджетних  коштів –</w:t>
      </w:r>
      <w:r w:rsidR="008C25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407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02919"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правління житлово-комунального господарства Роменської міської ради </w:t>
      </w:r>
      <w:r w:rsidR="004F4071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C02919" w:rsidRPr="00F75030">
        <w:rPr>
          <w:rFonts w:ascii="Times New Roman" w:hAnsi="Times New Roman" w:cs="Times New Roman"/>
          <w:sz w:val="24"/>
          <w:szCs w:val="24"/>
          <w:lang w:val="uk-UA"/>
        </w:rPr>
        <w:t xml:space="preserve"> КПКВК </w:t>
      </w:r>
      <w:r w:rsidR="00C02919"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1216030 </w:t>
      </w:r>
      <w:r w:rsidR="00C02919" w:rsidRPr="00F75030">
        <w:rPr>
          <w:rFonts w:ascii="Times New Roman" w:hAnsi="Times New Roman" w:cs="Times New Roman"/>
          <w:sz w:val="24"/>
          <w:szCs w:val="24"/>
          <w:lang w:val="uk-UA"/>
        </w:rPr>
        <w:t>“Організаці</w:t>
      </w:r>
      <w:r w:rsidR="00C02919" w:rsidRPr="00F47FA0">
        <w:rPr>
          <w:rFonts w:ascii="Times New Roman" w:hAnsi="Times New Roman" w:cs="Times New Roman"/>
          <w:sz w:val="24"/>
          <w:szCs w:val="24"/>
          <w:lang w:val="uk-UA"/>
        </w:rPr>
        <w:t>я благоустрою населених пунктів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 xml:space="preserve"> КЕКВ 2610 “Субсидії  та  поточні  трансферти  підприємствам,</w:t>
      </w:r>
      <w:r w:rsidR="00A12D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>установам, організаціям” по заходу «</w:t>
      </w:r>
      <w:r w:rsidR="001614C5">
        <w:rPr>
          <w:rFonts w:ascii="Times New Roman" w:hAnsi="Times New Roman" w:cs="Times New Roman"/>
          <w:sz w:val="24"/>
          <w:szCs w:val="24"/>
          <w:lang w:val="uk-UA"/>
        </w:rPr>
        <w:t>Придбання асенізаційної машини</w:t>
      </w:r>
      <w:r w:rsidR="00C02919" w:rsidRPr="00F47FA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8C25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65F8E">
        <w:rPr>
          <w:rFonts w:ascii="Times New Roman" w:hAnsi="Times New Roman" w:cs="Times New Roman"/>
          <w:sz w:val="24"/>
          <w:szCs w:val="24"/>
          <w:lang w:val="uk-UA"/>
        </w:rPr>
        <w:t xml:space="preserve">на суму </w:t>
      </w:r>
      <w:r w:rsidR="001E728A">
        <w:rPr>
          <w:rFonts w:ascii="Times New Roman" w:hAnsi="Times New Roman" w:cs="Times New Roman"/>
          <w:sz w:val="24"/>
          <w:szCs w:val="24"/>
          <w:lang w:val="uk-UA"/>
        </w:rPr>
        <w:t xml:space="preserve">1 200 000 </w:t>
      </w:r>
      <w:r w:rsidR="00865F8E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1E728A">
        <w:rPr>
          <w:rFonts w:ascii="Times New Roman" w:hAnsi="Times New Roman" w:cs="Times New Roman"/>
          <w:sz w:val="24"/>
          <w:szCs w:val="24"/>
          <w:lang w:val="uk-UA"/>
        </w:rPr>
        <w:t xml:space="preserve"> 00 коп. </w:t>
      </w:r>
      <w:r w:rsidR="00865F8E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1E728A">
        <w:rPr>
          <w:rFonts w:ascii="Times New Roman" w:hAnsi="Times New Roman" w:cs="Times New Roman"/>
          <w:sz w:val="24"/>
          <w:szCs w:val="24"/>
          <w:lang w:val="uk-UA"/>
        </w:rPr>
        <w:t>один мільйон двісті тисяч гривень 00 коп</w:t>
      </w:r>
      <w:r w:rsidR="007A5FA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517DB"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) згідно з 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 xml:space="preserve">оцінкою відповідності показників діяльності </w:t>
      </w:r>
      <w:r w:rsidR="00E517DB" w:rsidRPr="00F75030">
        <w:rPr>
          <w:rFonts w:ascii="Times New Roman" w:hAnsi="Times New Roman" w:cs="Times New Roman"/>
          <w:sz w:val="24"/>
          <w:szCs w:val="24"/>
          <w:lang w:val="uk-UA"/>
        </w:rPr>
        <w:t>комунального</w:t>
      </w:r>
      <w:r w:rsidR="008C25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>підприємства «</w:t>
      </w:r>
      <w:r w:rsidR="00E517DB" w:rsidRPr="00F47FA0">
        <w:rPr>
          <w:rFonts w:ascii="Times New Roman" w:hAnsi="Times New Roman" w:cs="Times New Roman"/>
          <w:sz w:val="24"/>
          <w:szCs w:val="24"/>
          <w:lang w:val="uk-UA"/>
        </w:rPr>
        <w:t>Комбінат комунальних підприємств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E517DB"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 Роменської міської ради 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>критеріям визначення одержувача бюджетних коштів (додаток</w:t>
      </w:r>
      <w:r w:rsidR="004F4071"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 xml:space="preserve">). </w:t>
      </w:r>
    </w:p>
    <w:p w:rsidR="000D77E9" w:rsidRPr="00F75030" w:rsidRDefault="000D77E9" w:rsidP="00A12DDB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5030">
        <w:rPr>
          <w:rFonts w:ascii="Times New Roman" w:hAnsi="Times New Roman" w:cs="Times New Roman"/>
          <w:sz w:val="24"/>
          <w:szCs w:val="24"/>
          <w:lang w:val="uk-UA"/>
        </w:rPr>
        <w:t xml:space="preserve">2. Затвердити Порядок </w:t>
      </w:r>
      <w:r w:rsidR="006E362C" w:rsidRPr="00A43CD4">
        <w:rPr>
          <w:rFonts w:ascii="Times New Roman" w:hAnsi="Times New Roman" w:cs="Times New Roman"/>
          <w:sz w:val="24"/>
          <w:szCs w:val="24"/>
          <w:lang w:val="uk-UA"/>
        </w:rPr>
        <w:t>використання коштів на виконання у 20</w:t>
      </w:r>
      <w:r w:rsidR="006E362C" w:rsidRPr="006E362C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6E362C" w:rsidRPr="00A43CD4">
        <w:rPr>
          <w:rFonts w:ascii="Times New Roman" w:hAnsi="Times New Roman" w:cs="Times New Roman"/>
          <w:sz w:val="24"/>
          <w:szCs w:val="24"/>
          <w:lang w:val="uk-UA"/>
        </w:rPr>
        <w:t xml:space="preserve"> році заходів</w:t>
      </w:r>
      <w:r w:rsidR="006E362C" w:rsidRPr="006E362C">
        <w:rPr>
          <w:rFonts w:ascii="Times New Roman" w:hAnsi="Times New Roman" w:cs="Times New Roman"/>
          <w:sz w:val="24"/>
          <w:szCs w:val="24"/>
          <w:lang w:val="uk-UA"/>
        </w:rPr>
        <w:t xml:space="preserve"> щодо </w:t>
      </w:r>
      <w:r w:rsidR="001E728A">
        <w:rPr>
          <w:rFonts w:ascii="Times New Roman" w:hAnsi="Times New Roman" w:cs="Times New Roman"/>
          <w:sz w:val="24"/>
          <w:szCs w:val="24"/>
          <w:lang w:val="uk-UA"/>
        </w:rPr>
        <w:t xml:space="preserve">придбання асенізаційної машини </w:t>
      </w:r>
      <w:r w:rsidR="004F4071">
        <w:rPr>
          <w:rFonts w:ascii="Times New Roman" w:hAnsi="Times New Roman" w:cs="Times New Roman"/>
          <w:sz w:val="24"/>
          <w:szCs w:val="24"/>
          <w:lang w:val="uk-UA"/>
        </w:rPr>
        <w:t xml:space="preserve">(додаток 2). </w:t>
      </w:r>
    </w:p>
    <w:p w:rsidR="006E362C" w:rsidRPr="00A43CD4" w:rsidRDefault="006E362C" w:rsidP="000D77E9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101E9" w:rsidRPr="007A5FA3" w:rsidRDefault="00A12DDB" w:rsidP="007A5FA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Міський голова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>Сергій САЛАТУН</w:t>
      </w:r>
    </w:p>
    <w:p w:rsidR="00A750A7" w:rsidRPr="007A5FA3" w:rsidRDefault="00A750A7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750A7" w:rsidRPr="007A5FA3" w:rsidRDefault="00A750A7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750A7" w:rsidRPr="007A5FA3" w:rsidRDefault="00A750A7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C7BDA" w:rsidRPr="007A5FA3" w:rsidRDefault="004C7BDA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C7BDA" w:rsidRDefault="004C7BDA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A5FA3" w:rsidRDefault="007A5FA3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A5FA3" w:rsidRDefault="007A5FA3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A5FA3" w:rsidRDefault="007A5FA3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614C5" w:rsidRDefault="001614C5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E728A" w:rsidRDefault="001E728A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E728A" w:rsidRPr="001614C5" w:rsidRDefault="001E728A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C7BDA" w:rsidRPr="007A5FA3" w:rsidRDefault="004C7BDA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F4071" w:rsidRPr="004F4071" w:rsidRDefault="007101E9" w:rsidP="004C7BDA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A5FA3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Додаток </w:t>
      </w:r>
      <w:bookmarkStart w:id="0" w:name="_GoBack"/>
      <w:bookmarkEnd w:id="0"/>
      <w:r w:rsidR="004F4071" w:rsidRPr="004F4071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</w:p>
    <w:p w:rsidR="004F4071" w:rsidRPr="004F4071" w:rsidRDefault="004F4071" w:rsidP="004C7BDA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4071">
        <w:rPr>
          <w:rFonts w:ascii="Times New Roman" w:hAnsi="Times New Roman" w:cs="Times New Roman"/>
          <w:b/>
          <w:sz w:val="24"/>
          <w:szCs w:val="24"/>
          <w:lang w:val="uk-UA"/>
        </w:rPr>
        <w:t>до рішення виконкому міської ради</w:t>
      </w:r>
    </w:p>
    <w:p w:rsidR="000D77E9" w:rsidRPr="004F4071" w:rsidRDefault="00651169" w:rsidP="004C7BDA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15.07</w:t>
      </w:r>
      <w:r w:rsidR="004F4071" w:rsidRPr="004F40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.2020 № </w:t>
      </w:r>
      <w:r w:rsidR="00552F5E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="00BF60BE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</w:p>
    <w:p w:rsidR="00C05343" w:rsidRPr="00542AE2" w:rsidRDefault="00C05343" w:rsidP="004C7BD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4F4071" w:rsidRDefault="004F4071" w:rsidP="004C7B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47FA0">
        <w:rPr>
          <w:rFonts w:ascii="Times New Roman" w:hAnsi="Times New Roman" w:cs="Times New Roman"/>
          <w:b/>
          <w:sz w:val="24"/>
          <w:szCs w:val="24"/>
          <w:lang w:val="uk-UA"/>
        </w:rPr>
        <w:t>ОЦІНКА</w:t>
      </w:r>
    </w:p>
    <w:p w:rsidR="004F4071" w:rsidRPr="00542AE2" w:rsidRDefault="000D77E9" w:rsidP="004C7BD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F47FA0">
        <w:rPr>
          <w:rFonts w:ascii="Times New Roman" w:hAnsi="Times New Roman" w:cs="Times New Roman"/>
          <w:b/>
          <w:sz w:val="24"/>
          <w:szCs w:val="24"/>
          <w:lang w:val="uk-UA"/>
        </w:rPr>
        <w:t>відповідності показників діяльності комунального підприємства</w:t>
      </w:r>
      <w:r w:rsidR="008C25B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F47FA0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7101E9" w:rsidRPr="00F47FA0">
        <w:rPr>
          <w:rFonts w:ascii="Times New Roman" w:hAnsi="Times New Roman" w:cs="Times New Roman"/>
          <w:b/>
          <w:sz w:val="24"/>
          <w:szCs w:val="24"/>
          <w:lang w:val="uk-UA"/>
        </w:rPr>
        <w:t>Комбінат комунальних підприємств</w:t>
      </w:r>
      <w:r w:rsidRPr="00F47FA0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 w:rsidR="007101E9" w:rsidRPr="00F47FA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Роменської міської ради</w:t>
      </w:r>
      <w:r w:rsidR="008C25B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623E5A">
        <w:rPr>
          <w:rFonts w:ascii="Times New Roman" w:hAnsi="Times New Roman" w:cs="Times New Roman"/>
          <w:b/>
          <w:sz w:val="24"/>
          <w:szCs w:val="24"/>
          <w:lang w:val="uk-UA"/>
        </w:rPr>
        <w:t>на придбання асенізаційної машини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694"/>
        <w:gridCol w:w="5103"/>
        <w:gridCol w:w="1325"/>
      </w:tblGrid>
      <w:tr w:rsidR="00C05343" w:rsidRPr="004C7BDA" w:rsidTr="007A5FA3">
        <w:tc>
          <w:tcPr>
            <w:tcW w:w="567" w:type="dxa"/>
          </w:tcPr>
          <w:p w:rsidR="00C05343" w:rsidRPr="004C7BDA" w:rsidRDefault="00C05343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C05343" w:rsidRPr="004C7BDA" w:rsidRDefault="004F4071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зп</w:t>
            </w:r>
          </w:p>
        </w:tc>
        <w:tc>
          <w:tcPr>
            <w:tcW w:w="2694" w:type="dxa"/>
          </w:tcPr>
          <w:p w:rsidR="00C05343" w:rsidRPr="004C7BDA" w:rsidRDefault="00C05343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критеріїв</w:t>
            </w:r>
          </w:p>
        </w:tc>
        <w:tc>
          <w:tcPr>
            <w:tcW w:w="5103" w:type="dxa"/>
          </w:tcPr>
          <w:p w:rsidR="00C05343" w:rsidRPr="004C7BDA" w:rsidRDefault="00C05343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Показники діяльності підприємства</w:t>
            </w:r>
          </w:p>
        </w:tc>
        <w:tc>
          <w:tcPr>
            <w:tcW w:w="1325" w:type="dxa"/>
          </w:tcPr>
          <w:p w:rsidR="00C05343" w:rsidRPr="004C7BDA" w:rsidRDefault="00C05343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C05343" w:rsidRPr="004C7BDA" w:rsidTr="007A5FA3">
        <w:tc>
          <w:tcPr>
            <w:tcW w:w="567" w:type="dxa"/>
          </w:tcPr>
          <w:p w:rsidR="00C05343" w:rsidRPr="004C7BDA" w:rsidRDefault="00C05343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4" w:type="dxa"/>
          </w:tcPr>
          <w:p w:rsidR="00C05343" w:rsidRPr="004C7BDA" w:rsidRDefault="00C05343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03" w:type="dxa"/>
          </w:tcPr>
          <w:p w:rsidR="00C05343" w:rsidRPr="004C7BDA" w:rsidRDefault="00C05343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25" w:type="dxa"/>
          </w:tcPr>
          <w:p w:rsidR="00C05343" w:rsidRPr="004C7BDA" w:rsidRDefault="00C05343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C05343" w:rsidRPr="004C7BDA" w:rsidTr="007A5FA3">
        <w:tc>
          <w:tcPr>
            <w:tcW w:w="567" w:type="dxa"/>
          </w:tcPr>
          <w:p w:rsidR="00C05343" w:rsidRPr="004C7BDA" w:rsidRDefault="00C05343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694" w:type="dxa"/>
          </w:tcPr>
          <w:p w:rsidR="00C05343" w:rsidRPr="004C7BDA" w:rsidRDefault="00C05343" w:rsidP="004704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Досвід  роботи</w:t>
            </w:r>
            <w:r w:rsidR="00623E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проведенню закупівель по транспортним засобам.</w:t>
            </w:r>
          </w:p>
          <w:p w:rsidR="00C05343" w:rsidRPr="004C7BDA" w:rsidRDefault="00C05343" w:rsidP="004704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115EDE" w:rsidRDefault="00ED5D9D" w:rsidP="00C825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Звіт про договір про закупівлю, укладений без використання е</w:t>
            </w:r>
            <w:r w:rsidR="008D3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лектронної системи закупівель </w:t>
            </w:r>
            <w:r w:rsidR="008D3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–2020-06-09-003908-с напівпри</w:t>
            </w:r>
            <w:r w:rsidR="007A5F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="007A5F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 одноосьового.</w:t>
            </w:r>
          </w:p>
          <w:p w:rsidR="00ED5D9D" w:rsidRDefault="00ED5D9D" w:rsidP="00C825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Звіт про договір про закупівлю, укладений без використання електронної системи закупівель UA –2018-</w:t>
            </w:r>
            <w:r w:rsidR="008D3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10-26-000461-с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прич</w:t>
            </w:r>
            <w:r w:rsidR="007A5F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 тракторного двовісного самоскидного 2 ПТС – 4,5.</w:t>
            </w:r>
          </w:p>
          <w:p w:rsidR="00ED5D9D" w:rsidRDefault="00ED5D9D" w:rsidP="00C825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Звіт про результати проведення процедури закупівлі UA–2018-06-22-000071-с сміттєвоза з боковим навантаженням.</w:t>
            </w:r>
          </w:p>
          <w:p w:rsidR="008D3C88" w:rsidRDefault="00ED5D9D" w:rsidP="00C825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Звіт про результати п</w:t>
            </w:r>
            <w:r w:rsidR="008D3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роведення процедури закупівлі UА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–2018-</w:t>
            </w:r>
            <w:r w:rsidR="008D3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07-17-000617-с трактора МТЗ 82.1.</w:t>
            </w:r>
          </w:p>
          <w:p w:rsidR="00ED5D9D" w:rsidRDefault="008D3C88" w:rsidP="00C825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Звіт про договір про закупівлю, укладений без використання електронної системи закупівель UA- 2018-08-10-000014-b причіпної машини для розкидання сміття.</w:t>
            </w:r>
          </w:p>
          <w:p w:rsidR="008D3C88" w:rsidRDefault="008D3C88" w:rsidP="00C825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 Звіт про результати проведення процедури закупівлі UA-2017-07-04-001478-b авто</w:t>
            </w:r>
            <w:r w:rsidR="007A5F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грейдера.</w:t>
            </w:r>
          </w:p>
          <w:p w:rsidR="008D3C88" w:rsidRDefault="008D3C88" w:rsidP="00C825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 Звіт про результати проведення процедури закупівлі UA-2017-04-06-000029-а сміттєвоза з боковим навантаженням.</w:t>
            </w:r>
          </w:p>
          <w:p w:rsidR="008D3C88" w:rsidRDefault="008D3C88" w:rsidP="00C825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 Звіт про результати проведення процедури закупівлі UA-2017-04-20-000009-b подрібню</w:t>
            </w:r>
            <w:r w:rsidR="007A5F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вача відходів деревини.</w:t>
            </w:r>
          </w:p>
          <w:p w:rsidR="008D3C88" w:rsidRDefault="008D3C88" w:rsidP="00C825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 Звіт про результати проведення процедури закупівлі UA-2017-04-17-000003-b тракторного прич</w:t>
            </w:r>
            <w:r w:rsidR="007A5F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па.</w:t>
            </w:r>
          </w:p>
          <w:p w:rsidR="008D3C88" w:rsidRDefault="008D3C88" w:rsidP="007A5F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10. Звіт про результати проведення процедури закупівлі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-2016-09-28-</w:t>
            </w:r>
            <w:r w:rsidR="004317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000376-с грейфер</w:t>
            </w:r>
            <w:r w:rsidR="007A5F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4317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ного навантажувача-екскаватора ПЄФ 1.</w:t>
            </w:r>
          </w:p>
          <w:p w:rsidR="007A5FA3" w:rsidRPr="008D3C88" w:rsidRDefault="007A5FA3" w:rsidP="007A5F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</w:tcPr>
          <w:p w:rsidR="00C05343" w:rsidRPr="004C7BDA" w:rsidRDefault="00431767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</w:tbl>
    <w:p w:rsidR="007A5FA3" w:rsidRDefault="007A5FA3" w:rsidP="007A5FA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A5FA3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Продовження додатка 1</w:t>
      </w:r>
    </w:p>
    <w:p w:rsidR="007A5FA3" w:rsidRPr="007A5FA3" w:rsidRDefault="007A5FA3" w:rsidP="007A5FA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9"/>
        <w:gridCol w:w="9"/>
        <w:gridCol w:w="2676"/>
        <w:gridCol w:w="5103"/>
        <w:gridCol w:w="9"/>
        <w:gridCol w:w="9"/>
        <w:gridCol w:w="1307"/>
        <w:gridCol w:w="9"/>
        <w:gridCol w:w="9"/>
      </w:tblGrid>
      <w:tr w:rsidR="007A5FA3" w:rsidRPr="004C7BDA" w:rsidTr="007A5FA3">
        <w:trPr>
          <w:gridAfter w:val="2"/>
          <w:wAfter w:w="18" w:type="dxa"/>
        </w:trPr>
        <w:tc>
          <w:tcPr>
            <w:tcW w:w="567" w:type="dxa"/>
          </w:tcPr>
          <w:p w:rsidR="007A5FA3" w:rsidRPr="004C7BDA" w:rsidRDefault="007A5FA3" w:rsidP="007A5F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4" w:type="dxa"/>
            <w:gridSpan w:val="3"/>
          </w:tcPr>
          <w:p w:rsidR="007A5FA3" w:rsidRPr="004C7BDA" w:rsidRDefault="007A5FA3" w:rsidP="007A5F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03" w:type="dxa"/>
          </w:tcPr>
          <w:p w:rsidR="007A5FA3" w:rsidRPr="004C7BDA" w:rsidRDefault="007A5FA3" w:rsidP="007A5F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25" w:type="dxa"/>
            <w:gridSpan w:val="3"/>
          </w:tcPr>
          <w:p w:rsidR="007A5FA3" w:rsidRPr="004C7BDA" w:rsidRDefault="007A5FA3" w:rsidP="007A5F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7A5FA3" w:rsidRPr="00431767" w:rsidTr="007A5FA3">
        <w:trPr>
          <w:gridAfter w:val="2"/>
          <w:wAfter w:w="18" w:type="dxa"/>
          <w:trHeight w:val="946"/>
        </w:trPr>
        <w:tc>
          <w:tcPr>
            <w:tcW w:w="567" w:type="dxa"/>
          </w:tcPr>
          <w:p w:rsidR="007A5FA3" w:rsidRPr="004C7BDA" w:rsidRDefault="007A5FA3" w:rsidP="007A5F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694" w:type="dxa"/>
            <w:gridSpan w:val="3"/>
          </w:tcPr>
          <w:p w:rsidR="007A5FA3" w:rsidRPr="004C7BDA" w:rsidRDefault="007A5FA3" w:rsidP="008C25B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Виробничий  потенціал. Обгрунтування ефек-тивного використання придбаної техніки</w:t>
            </w:r>
            <w:r w:rsidR="008C25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03" w:type="dxa"/>
          </w:tcPr>
          <w:p w:rsidR="007A5FA3" w:rsidRDefault="007A5FA3" w:rsidP="007A5F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Штатна чисельність працівників підприємства</w:t>
            </w:r>
            <w:r w:rsidR="00A12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52 особи.</w:t>
            </w:r>
          </w:p>
          <w:p w:rsidR="007A5FA3" w:rsidRPr="008C25B6" w:rsidRDefault="007A5FA3" w:rsidP="00A12D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8C25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Асенізаційна машина буде використовуватися відповідно</w:t>
            </w:r>
            <w:r w:rsidR="00A12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</w:t>
            </w:r>
            <w:r w:rsidR="008C25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виробничої діяльності підприємства: вивіз рідких побутових відходів</w:t>
            </w:r>
            <w:r w:rsidR="00A12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8C25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вивіз </w:t>
            </w:r>
            <w:r w:rsidR="00A12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="008C25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переробка сміття і твердих побутових відходів.</w:t>
            </w:r>
          </w:p>
        </w:tc>
        <w:tc>
          <w:tcPr>
            <w:tcW w:w="1325" w:type="dxa"/>
            <w:gridSpan w:val="3"/>
          </w:tcPr>
          <w:p w:rsidR="007A5FA3" w:rsidRPr="004C7BDA" w:rsidRDefault="007A5FA3" w:rsidP="007A5F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Відповідає </w:t>
            </w:r>
          </w:p>
        </w:tc>
      </w:tr>
      <w:tr w:rsidR="007A5FA3" w:rsidRPr="004C7BDA" w:rsidTr="00552F5E">
        <w:trPr>
          <w:gridAfter w:val="2"/>
          <w:wAfter w:w="18" w:type="dxa"/>
          <w:trHeight w:val="756"/>
        </w:trPr>
        <w:tc>
          <w:tcPr>
            <w:tcW w:w="567" w:type="dxa"/>
          </w:tcPr>
          <w:p w:rsidR="007A5FA3" w:rsidRPr="004C7BDA" w:rsidRDefault="007A5FA3" w:rsidP="007A5F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4" w:type="dxa"/>
            <w:gridSpan w:val="3"/>
          </w:tcPr>
          <w:p w:rsidR="007A5FA3" w:rsidRPr="004C7BDA" w:rsidRDefault="007A5FA3" w:rsidP="00552F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Незбиткова діяльність</w:t>
            </w:r>
            <w:r w:rsidR="008C25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одержувача за останні</w:t>
            </w:r>
            <w:r w:rsidR="008C25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два роки</w:t>
            </w:r>
          </w:p>
        </w:tc>
        <w:tc>
          <w:tcPr>
            <w:tcW w:w="5103" w:type="dxa"/>
          </w:tcPr>
          <w:p w:rsidR="007A5FA3" w:rsidRPr="004C7BDA" w:rsidRDefault="007A5FA3" w:rsidP="00552F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 про фінансові результати за 2019 та 2018 роки.</w:t>
            </w:r>
          </w:p>
        </w:tc>
        <w:tc>
          <w:tcPr>
            <w:tcW w:w="1325" w:type="dxa"/>
            <w:gridSpan w:val="3"/>
          </w:tcPr>
          <w:p w:rsidR="007A5FA3" w:rsidRPr="004C7BDA" w:rsidRDefault="007A5FA3" w:rsidP="007A5F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D25EDC" w:rsidRPr="004C7BDA" w:rsidTr="007A5FA3">
        <w:tc>
          <w:tcPr>
            <w:tcW w:w="585" w:type="dxa"/>
            <w:gridSpan w:val="3"/>
          </w:tcPr>
          <w:p w:rsidR="00D25EDC" w:rsidRPr="004C7BDA" w:rsidRDefault="004A3C80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D25EDC"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76" w:type="dxa"/>
          </w:tcPr>
          <w:p w:rsidR="00D25EDC" w:rsidRPr="004C7BDA" w:rsidRDefault="00D25EDC" w:rsidP="004C7BD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Відсутність простроче</w:t>
            </w:r>
            <w:r w:rsidR="007A5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Pr="004C7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ної  заборгованості занаданими  банками</w:t>
            </w:r>
            <w:r w:rsidR="008C2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кредитами </w:t>
            </w:r>
          </w:p>
        </w:tc>
        <w:tc>
          <w:tcPr>
            <w:tcW w:w="5121" w:type="dxa"/>
            <w:gridSpan w:val="3"/>
          </w:tcPr>
          <w:p w:rsidR="00D25EDC" w:rsidRPr="00431767" w:rsidRDefault="00431767" w:rsidP="00A12D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підприємство «Комбінат комунальних підприємств» підтверджує відсутність у підприємства простроченої заборгованості за наданими банками кредитами.</w:t>
            </w:r>
          </w:p>
        </w:tc>
        <w:tc>
          <w:tcPr>
            <w:tcW w:w="1325" w:type="dxa"/>
            <w:gridSpan w:val="3"/>
          </w:tcPr>
          <w:p w:rsidR="00D25EDC" w:rsidRPr="004C7BDA" w:rsidRDefault="006F5E3E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D25EDC" w:rsidRPr="00A12DDB" w:rsidTr="007A5FA3">
        <w:tc>
          <w:tcPr>
            <w:tcW w:w="585" w:type="dxa"/>
            <w:gridSpan w:val="3"/>
          </w:tcPr>
          <w:p w:rsidR="00D25EDC" w:rsidRPr="004C7BDA" w:rsidRDefault="004A3C80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D25EDC"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76" w:type="dxa"/>
          </w:tcPr>
          <w:p w:rsidR="00D25EDC" w:rsidRPr="00623E5A" w:rsidRDefault="00623E5A" w:rsidP="00623E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Вартість придбання та договірні умови</w:t>
            </w:r>
          </w:p>
        </w:tc>
        <w:tc>
          <w:tcPr>
            <w:tcW w:w="5121" w:type="dxa"/>
            <w:gridSpan w:val="3"/>
          </w:tcPr>
          <w:p w:rsidR="00D25EDC" w:rsidRPr="008C25B6" w:rsidRDefault="008C25B6" w:rsidP="00A12D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Вартість асенізаційної машини згідно </w:t>
            </w:r>
            <w:r w:rsidR="00A12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моніторинг</w:t>
            </w:r>
            <w:r w:rsidR="00A12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цін</w:t>
            </w:r>
            <w:r w:rsidR="00A12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2 600 000 грн. Договірна вартість </w:t>
            </w:r>
            <w:r w:rsidR="00A12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підсумкам</w:t>
            </w:r>
            <w:r w:rsidR="00A12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проведення тендерних торгів.</w:t>
            </w:r>
          </w:p>
        </w:tc>
        <w:tc>
          <w:tcPr>
            <w:tcW w:w="1325" w:type="dxa"/>
            <w:gridSpan w:val="3"/>
          </w:tcPr>
          <w:p w:rsidR="00D25EDC" w:rsidRPr="004C7BDA" w:rsidRDefault="00D25EDC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4504" w:rsidRPr="004C7BDA" w:rsidTr="007A5FA3">
        <w:trPr>
          <w:gridAfter w:val="1"/>
          <w:wAfter w:w="9" w:type="dxa"/>
        </w:trPr>
        <w:tc>
          <w:tcPr>
            <w:tcW w:w="576" w:type="dxa"/>
            <w:gridSpan w:val="2"/>
          </w:tcPr>
          <w:p w:rsidR="00FB4504" w:rsidRPr="004C7BDA" w:rsidRDefault="004A3C80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FB4504"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85" w:type="dxa"/>
            <w:gridSpan w:val="2"/>
          </w:tcPr>
          <w:p w:rsidR="00FB4504" w:rsidRPr="004C7BDA" w:rsidRDefault="00FB4504" w:rsidP="007A5F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Одержувача не визнано</w:t>
            </w:r>
            <w:r w:rsidR="008C25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="008C25B6">
              <w:rPr>
                <w:rFonts w:ascii="Times New Roman" w:hAnsi="Times New Roman" w:cs="Times New Roman"/>
                <w:sz w:val="24"/>
                <w:szCs w:val="24"/>
              </w:rPr>
              <w:t>установленному</w:t>
            </w:r>
            <w:r w:rsidR="008C25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A5F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рядку  банкрутом,  не</w:t>
            </w:r>
            <w:r w:rsidR="00552F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порушено  справу  про</w:t>
            </w:r>
            <w:r w:rsidR="008C25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банкрутство  і  він  не</w:t>
            </w:r>
            <w:r w:rsidR="004F39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перебуває  в  стадії</w:t>
            </w:r>
            <w:r w:rsidR="004F39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 xml:space="preserve">ліквідації </w:t>
            </w:r>
          </w:p>
        </w:tc>
        <w:tc>
          <w:tcPr>
            <w:tcW w:w="5112" w:type="dxa"/>
            <w:gridSpan w:val="2"/>
          </w:tcPr>
          <w:p w:rsidR="00FB4504" w:rsidRPr="004C7BDA" w:rsidRDefault="006F5E3E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Повна інформаційна довідка з Єдиного реєстру підприємств, щодо яких порушено провадження у справі про банкрутство.</w:t>
            </w:r>
          </w:p>
        </w:tc>
        <w:tc>
          <w:tcPr>
            <w:tcW w:w="1325" w:type="dxa"/>
            <w:gridSpan w:val="3"/>
          </w:tcPr>
          <w:p w:rsidR="00FB4504" w:rsidRPr="004C7BDA" w:rsidRDefault="00FB4504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DE613B" w:rsidRDefault="00DE613B" w:rsidP="004C7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4C35" w:rsidRPr="004C7BDA" w:rsidRDefault="009A4C35" w:rsidP="004C7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E613B" w:rsidRPr="004C7BDA" w:rsidRDefault="00CC61B6" w:rsidP="004C7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                                                    Лариса СОСНЕНКО</w:t>
      </w:r>
    </w:p>
    <w:p w:rsidR="00BD41B1" w:rsidRDefault="00BD41B1" w:rsidP="004C7BDA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D41B1" w:rsidRDefault="00BD41B1" w:rsidP="004C7BDA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D41B1" w:rsidRDefault="00BD41B1" w:rsidP="004C7BDA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D41B1" w:rsidRDefault="00BD41B1" w:rsidP="004C7BDA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A3C80" w:rsidRDefault="004A3C80" w:rsidP="004C7BDA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F390C" w:rsidRDefault="004F390C" w:rsidP="004C7BDA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F390C" w:rsidRDefault="004F390C" w:rsidP="004C7BDA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F390C" w:rsidRDefault="004F390C" w:rsidP="004C7BDA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12DDB" w:rsidRDefault="00A12DDB" w:rsidP="004C7BDA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52F5E" w:rsidRDefault="00552F5E" w:rsidP="004C7BDA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52F5E" w:rsidRDefault="00552F5E" w:rsidP="004C7BDA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F390C" w:rsidRDefault="004F390C" w:rsidP="004C7BDA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A3C80" w:rsidRDefault="004A3C80" w:rsidP="004C7BDA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F4071" w:rsidRPr="004C7BDA" w:rsidRDefault="004F4071" w:rsidP="004C7BDA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Додаток </w:t>
      </w:r>
      <w:r w:rsidRPr="004C7BDA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</w:p>
    <w:p w:rsidR="004F4071" w:rsidRPr="004C7BDA" w:rsidRDefault="004F4071" w:rsidP="004C7BDA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b/>
          <w:sz w:val="24"/>
          <w:szCs w:val="24"/>
          <w:lang w:val="uk-UA"/>
        </w:rPr>
        <w:t>до рішення виконкому міської ради</w:t>
      </w:r>
    </w:p>
    <w:p w:rsidR="004F4071" w:rsidRPr="004C7BDA" w:rsidRDefault="00623E5A" w:rsidP="004C7BDA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15.07.</w:t>
      </w:r>
      <w:r w:rsidR="004F4071" w:rsidRPr="004C7B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2020 № </w:t>
      </w:r>
      <w:r w:rsidR="00552F5E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="00BF60BE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</w:p>
    <w:p w:rsidR="004F4071" w:rsidRPr="004C7BDA" w:rsidRDefault="004F4071" w:rsidP="004C7B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7E9" w:rsidRPr="004C7BDA" w:rsidRDefault="000D77E9" w:rsidP="00542A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DA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2D5E5E" w:rsidRPr="004C7BDA" w:rsidRDefault="000D77E9" w:rsidP="00542A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DA">
        <w:rPr>
          <w:rFonts w:ascii="Times New Roman" w:hAnsi="Times New Roman" w:cs="Times New Roman"/>
          <w:b/>
          <w:sz w:val="24"/>
          <w:szCs w:val="24"/>
        </w:rPr>
        <w:t>викорис</w:t>
      </w:r>
      <w:r w:rsidR="00D21F72" w:rsidRPr="004C7BDA">
        <w:rPr>
          <w:rFonts w:ascii="Times New Roman" w:hAnsi="Times New Roman" w:cs="Times New Roman"/>
          <w:b/>
          <w:sz w:val="24"/>
          <w:szCs w:val="24"/>
        </w:rPr>
        <w:t>тання коштів на виконання у 20</w:t>
      </w:r>
      <w:r w:rsidR="00D21F72" w:rsidRPr="004C7BDA">
        <w:rPr>
          <w:rFonts w:ascii="Times New Roman" w:hAnsi="Times New Roman" w:cs="Times New Roman"/>
          <w:b/>
          <w:sz w:val="24"/>
          <w:szCs w:val="24"/>
          <w:lang w:val="uk-UA"/>
        </w:rPr>
        <w:t>20</w:t>
      </w:r>
      <w:r w:rsidRPr="004C7BDA">
        <w:rPr>
          <w:rFonts w:ascii="Times New Roman" w:hAnsi="Times New Roman" w:cs="Times New Roman"/>
          <w:b/>
          <w:sz w:val="24"/>
          <w:szCs w:val="24"/>
        </w:rPr>
        <w:t xml:space="preserve"> році заходів</w:t>
      </w:r>
      <w:r w:rsidR="004F390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D0B9D" w:rsidRPr="004C7BDA">
        <w:rPr>
          <w:rFonts w:ascii="Times New Roman" w:hAnsi="Times New Roman" w:cs="Times New Roman"/>
          <w:b/>
          <w:sz w:val="24"/>
          <w:szCs w:val="24"/>
          <w:lang w:val="uk-UA"/>
        </w:rPr>
        <w:t>щодо</w:t>
      </w:r>
      <w:r w:rsidR="001614C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придбання асенізаційної машини</w:t>
      </w:r>
    </w:p>
    <w:p w:rsidR="00DD7638" w:rsidRPr="004C7BDA" w:rsidRDefault="000D77E9" w:rsidP="00542AE2">
      <w:pPr>
        <w:spacing w:before="12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42AE2">
        <w:rPr>
          <w:rFonts w:ascii="Times New Roman" w:hAnsi="Times New Roman" w:cs="Times New Roman"/>
          <w:b/>
          <w:sz w:val="24"/>
          <w:szCs w:val="24"/>
          <w:lang w:val="uk-UA"/>
        </w:rPr>
        <w:t>1. Загальні питання</w:t>
      </w:r>
    </w:p>
    <w:p w:rsidR="000D77E9" w:rsidRPr="00542AE2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2AE2">
        <w:rPr>
          <w:rFonts w:ascii="Times New Roman" w:hAnsi="Times New Roman" w:cs="Times New Roman"/>
          <w:sz w:val="24"/>
          <w:szCs w:val="24"/>
          <w:lang w:val="uk-UA"/>
        </w:rPr>
        <w:t>1.1</w:t>
      </w:r>
      <w:r w:rsidR="00DF1FF1" w:rsidRPr="00542AE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42AE2" w:rsidRPr="00542AE2">
        <w:rPr>
          <w:rFonts w:ascii="Times New Roman" w:hAnsi="Times New Roman" w:cs="Times New Roman"/>
          <w:sz w:val="24"/>
          <w:szCs w:val="24"/>
          <w:lang w:val="uk-UA"/>
        </w:rPr>
        <w:t>Порядок використання коштів на виконання у 2020 році заходів щодо</w:t>
      </w:r>
      <w:r w:rsidR="001614C5">
        <w:rPr>
          <w:rFonts w:ascii="Times New Roman" w:hAnsi="Times New Roman" w:cs="Times New Roman"/>
          <w:sz w:val="24"/>
          <w:szCs w:val="24"/>
          <w:lang w:val="uk-UA"/>
        </w:rPr>
        <w:t xml:space="preserve"> придбання асенізаційної машини</w:t>
      </w:r>
      <w:r w:rsidR="00A12D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42AE2" w:rsidRPr="00542AE2">
        <w:rPr>
          <w:rFonts w:ascii="Times New Roman" w:hAnsi="Times New Roman" w:cs="Times New Roman"/>
          <w:sz w:val="24"/>
          <w:szCs w:val="24"/>
          <w:lang w:val="uk-UA"/>
        </w:rPr>
        <w:t>(далі – Порядок)</w:t>
      </w:r>
      <w:r w:rsidR="00A12D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42AE2">
        <w:rPr>
          <w:rFonts w:ascii="Times New Roman" w:hAnsi="Times New Roman" w:cs="Times New Roman"/>
          <w:sz w:val="24"/>
          <w:szCs w:val="24"/>
          <w:lang w:val="uk-UA"/>
        </w:rPr>
        <w:t>визначає механізм використання коштів,</w:t>
      </w:r>
      <w:r w:rsidR="00A12D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42AE2">
        <w:rPr>
          <w:rFonts w:ascii="Times New Roman" w:hAnsi="Times New Roman" w:cs="Times New Roman"/>
          <w:sz w:val="24"/>
          <w:szCs w:val="24"/>
          <w:lang w:val="uk-UA"/>
        </w:rPr>
        <w:t xml:space="preserve">передбачених для </w:t>
      </w:r>
      <w:r w:rsidR="00542AE2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2D5E5E" w:rsidRPr="00542AE2">
        <w:rPr>
          <w:rFonts w:ascii="Times New Roman" w:hAnsi="Times New Roman" w:cs="Times New Roman"/>
          <w:sz w:val="24"/>
          <w:szCs w:val="24"/>
          <w:lang w:val="uk-UA"/>
        </w:rPr>
        <w:t xml:space="preserve">правління житлово-комунального господарства Роменської міської ради (далі </w:t>
      </w:r>
      <w:r w:rsidR="00542AE2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A12D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68E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2D5E5E" w:rsidRPr="00542AE2">
        <w:rPr>
          <w:rFonts w:ascii="Times New Roman" w:hAnsi="Times New Roman" w:cs="Times New Roman"/>
          <w:sz w:val="24"/>
          <w:szCs w:val="24"/>
          <w:lang w:val="uk-UA"/>
        </w:rPr>
        <w:t>правління</w:t>
      </w:r>
      <w:r w:rsidRPr="00542AE2">
        <w:rPr>
          <w:rFonts w:ascii="Times New Roman" w:hAnsi="Times New Roman" w:cs="Times New Roman"/>
          <w:sz w:val="24"/>
          <w:szCs w:val="24"/>
          <w:lang w:val="uk-UA"/>
        </w:rPr>
        <w:t>) як головного розпорядника коштів</w:t>
      </w:r>
      <w:r w:rsidR="001614C5">
        <w:rPr>
          <w:rFonts w:ascii="Times New Roman" w:hAnsi="Times New Roman" w:cs="Times New Roman"/>
          <w:sz w:val="24"/>
          <w:szCs w:val="24"/>
          <w:lang w:val="uk-UA"/>
        </w:rPr>
        <w:t xml:space="preserve"> обласного бюджету та</w:t>
      </w:r>
      <w:r w:rsidRPr="00542AE2">
        <w:rPr>
          <w:rFonts w:ascii="Times New Roman" w:hAnsi="Times New Roman" w:cs="Times New Roman"/>
          <w:sz w:val="24"/>
          <w:szCs w:val="24"/>
          <w:lang w:val="uk-UA"/>
        </w:rPr>
        <w:t xml:space="preserve"> міського</w:t>
      </w:r>
      <w:r w:rsidR="00A12D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5E5E" w:rsidRPr="00542AE2">
        <w:rPr>
          <w:rFonts w:ascii="Times New Roman" w:hAnsi="Times New Roman" w:cs="Times New Roman"/>
          <w:sz w:val="24"/>
          <w:szCs w:val="24"/>
          <w:lang w:val="uk-UA"/>
        </w:rPr>
        <w:t>бюджету м. Ромни</w:t>
      </w:r>
      <w:r w:rsidRPr="00542AE2">
        <w:rPr>
          <w:rFonts w:ascii="Times New Roman" w:hAnsi="Times New Roman" w:cs="Times New Roman"/>
          <w:sz w:val="24"/>
          <w:szCs w:val="24"/>
          <w:lang w:val="uk-UA"/>
        </w:rPr>
        <w:t xml:space="preserve"> на 2</w:t>
      </w:r>
      <w:r w:rsidR="002D5E5E" w:rsidRPr="00542AE2">
        <w:rPr>
          <w:rFonts w:ascii="Times New Roman" w:hAnsi="Times New Roman" w:cs="Times New Roman"/>
          <w:sz w:val="24"/>
          <w:szCs w:val="24"/>
          <w:lang w:val="uk-UA"/>
        </w:rPr>
        <w:t>020</w:t>
      </w:r>
      <w:r w:rsidRPr="00542AE2">
        <w:rPr>
          <w:rFonts w:ascii="Times New Roman" w:hAnsi="Times New Roman" w:cs="Times New Roman"/>
          <w:sz w:val="24"/>
          <w:szCs w:val="24"/>
          <w:lang w:val="uk-UA"/>
        </w:rPr>
        <w:t xml:space="preserve"> рік по </w:t>
      </w:r>
      <w:r w:rsidR="00C03983">
        <w:rPr>
          <w:rFonts w:ascii="Times New Roman" w:hAnsi="Times New Roman" w:cs="Times New Roman"/>
          <w:sz w:val="24"/>
          <w:szCs w:val="24"/>
          <w:lang w:val="uk-UA"/>
        </w:rPr>
        <w:t xml:space="preserve">спеціальному </w:t>
      </w:r>
      <w:r w:rsidRPr="00542AE2">
        <w:rPr>
          <w:rFonts w:ascii="Times New Roman" w:hAnsi="Times New Roman" w:cs="Times New Roman"/>
          <w:sz w:val="24"/>
          <w:szCs w:val="24"/>
          <w:lang w:val="uk-UA"/>
        </w:rPr>
        <w:t>фонду на виконання</w:t>
      </w:r>
      <w:r w:rsidR="00A12D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42AE2">
        <w:rPr>
          <w:rFonts w:ascii="Times New Roman" w:hAnsi="Times New Roman" w:cs="Times New Roman"/>
          <w:sz w:val="24"/>
          <w:szCs w:val="24"/>
          <w:lang w:val="uk-UA"/>
        </w:rPr>
        <w:t xml:space="preserve">заходів </w:t>
      </w:r>
      <w:r w:rsidR="000D0B9D" w:rsidRPr="00542AE2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="00A12D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614C5">
        <w:rPr>
          <w:rFonts w:ascii="Times New Roman" w:hAnsi="Times New Roman" w:cs="Times New Roman"/>
          <w:sz w:val="24"/>
          <w:szCs w:val="24"/>
          <w:lang w:val="uk-UA"/>
        </w:rPr>
        <w:t xml:space="preserve">придбання асенізаційної машини </w:t>
      </w:r>
      <w:r w:rsidRPr="00542AE2">
        <w:rPr>
          <w:rFonts w:ascii="Times New Roman" w:hAnsi="Times New Roman" w:cs="Times New Roman"/>
          <w:sz w:val="24"/>
          <w:szCs w:val="24"/>
          <w:lang w:val="uk-UA"/>
        </w:rPr>
        <w:t xml:space="preserve">(далі </w:t>
      </w:r>
      <w:r w:rsidR="000D0B9D" w:rsidRPr="00542AE2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42AE2">
        <w:rPr>
          <w:rFonts w:ascii="Times New Roman" w:hAnsi="Times New Roman" w:cs="Times New Roman"/>
          <w:sz w:val="24"/>
          <w:szCs w:val="24"/>
          <w:lang w:val="uk-UA"/>
        </w:rPr>
        <w:t xml:space="preserve"> Заходи).</w:t>
      </w:r>
    </w:p>
    <w:p w:rsidR="000D77E9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3E1B">
        <w:rPr>
          <w:rFonts w:ascii="Times New Roman" w:hAnsi="Times New Roman" w:cs="Times New Roman"/>
          <w:sz w:val="24"/>
          <w:szCs w:val="24"/>
          <w:lang w:val="uk-UA"/>
        </w:rPr>
        <w:t>1.2.  Одержувачем бюджетних коштів для виконання Заходів є</w:t>
      </w:r>
      <w:r w:rsidR="00A12D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3E1B">
        <w:rPr>
          <w:rFonts w:ascii="Times New Roman" w:hAnsi="Times New Roman" w:cs="Times New Roman"/>
          <w:sz w:val="24"/>
          <w:szCs w:val="24"/>
          <w:lang w:val="uk-UA"/>
        </w:rPr>
        <w:t>комунальне підприємство «</w:t>
      </w:r>
      <w:r w:rsidR="002D5E5E"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Комбінат комунальних </w:t>
      </w:r>
      <w:r w:rsidR="00DD7638" w:rsidRPr="004C7BDA">
        <w:rPr>
          <w:rFonts w:ascii="Times New Roman" w:hAnsi="Times New Roman" w:cs="Times New Roman"/>
          <w:sz w:val="24"/>
          <w:szCs w:val="24"/>
          <w:lang w:val="uk-UA"/>
        </w:rPr>
        <w:t>підприємств» Роменської міської ради</w:t>
      </w:r>
      <w:r w:rsidRPr="00803E1B">
        <w:rPr>
          <w:rFonts w:ascii="Times New Roman" w:hAnsi="Times New Roman" w:cs="Times New Roman"/>
          <w:sz w:val="24"/>
          <w:szCs w:val="24"/>
          <w:lang w:val="uk-UA"/>
        </w:rPr>
        <w:t xml:space="preserve"> (далі – Одержувач). </w:t>
      </w:r>
    </w:p>
    <w:p w:rsidR="00DD7638" w:rsidRPr="004C7BDA" w:rsidRDefault="000D77E9" w:rsidP="00542AE2">
      <w:pPr>
        <w:spacing w:before="12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b/>
          <w:sz w:val="24"/>
          <w:szCs w:val="24"/>
        </w:rPr>
        <w:t>2. Мета Порядку</w:t>
      </w:r>
    </w:p>
    <w:p w:rsidR="000D77E9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BDA">
        <w:rPr>
          <w:rFonts w:ascii="Times New Roman" w:hAnsi="Times New Roman" w:cs="Times New Roman"/>
          <w:sz w:val="24"/>
          <w:szCs w:val="24"/>
        </w:rPr>
        <w:t>2.1.  Забезпечення прозорої та ефективної процедури використання</w:t>
      </w:r>
      <w:r w:rsidR="00A12D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бюджетних коштів.</w:t>
      </w:r>
    </w:p>
    <w:p w:rsidR="000D77E9" w:rsidRPr="001614C5" w:rsidRDefault="000D77E9" w:rsidP="001614C5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sz w:val="24"/>
          <w:szCs w:val="24"/>
        </w:rPr>
        <w:t xml:space="preserve">2.2.  </w:t>
      </w:r>
      <w:r w:rsidR="00A35374">
        <w:rPr>
          <w:rFonts w:ascii="Times New Roman" w:hAnsi="Times New Roman" w:cs="Times New Roman"/>
          <w:sz w:val="24"/>
          <w:szCs w:val="24"/>
          <w:lang w:val="uk-UA"/>
        </w:rPr>
        <w:t>Забезпечення стабільної роботи каналізаційної системи, регулярне та своєчасне очищення каналізаційних колодязів.</w:t>
      </w:r>
    </w:p>
    <w:p w:rsidR="00703A31" w:rsidRPr="004C7BDA" w:rsidRDefault="000D77E9" w:rsidP="00542AE2">
      <w:pPr>
        <w:spacing w:before="12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b/>
          <w:sz w:val="24"/>
          <w:szCs w:val="24"/>
        </w:rPr>
        <w:t>3. Вимоги щодо використання бюджетних коштів</w:t>
      </w:r>
    </w:p>
    <w:p w:rsidR="000D77E9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3.1.  Фінансування  Заходів </w:t>
      </w:r>
      <w:r w:rsidR="002E6AB4"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</w:t>
      </w:r>
      <w:r w:rsidRPr="004C7BDA">
        <w:rPr>
          <w:rFonts w:ascii="Times New Roman" w:hAnsi="Times New Roman" w:cs="Times New Roman"/>
          <w:sz w:val="24"/>
          <w:szCs w:val="24"/>
        </w:rPr>
        <w:t>проводить  в  межах  сум,  передбачених  бюджетними</w:t>
      </w:r>
      <w:r w:rsidR="00A12D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03A31" w:rsidRPr="004C7BDA">
        <w:rPr>
          <w:rFonts w:ascii="Times New Roman" w:hAnsi="Times New Roman" w:cs="Times New Roman"/>
          <w:sz w:val="24"/>
          <w:szCs w:val="24"/>
        </w:rPr>
        <w:t>призначеннями на 20</w:t>
      </w:r>
      <w:r w:rsidR="00703A31" w:rsidRPr="004C7BDA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4C7BDA">
        <w:rPr>
          <w:rFonts w:ascii="Times New Roman" w:hAnsi="Times New Roman" w:cs="Times New Roman"/>
          <w:sz w:val="24"/>
          <w:szCs w:val="24"/>
        </w:rPr>
        <w:t xml:space="preserve"> рік, з урахуванням поданих Одержувачем</w:t>
      </w:r>
      <w:r w:rsidR="00A12D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розрахунків.</w:t>
      </w:r>
    </w:p>
    <w:p w:rsidR="000D77E9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sz w:val="24"/>
          <w:szCs w:val="24"/>
          <w:lang w:val="uk-UA"/>
        </w:rPr>
        <w:t>3.2.  Одержувач  використовує  бюджетні  кошти  на  підставі  плану</w:t>
      </w:r>
      <w:r w:rsidR="00A12D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>використання  бюджетних  коштів,  що  містить  розподіл  бюджетних</w:t>
      </w:r>
      <w:r w:rsidR="00A12D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>асигнувань, затверджених у кошторисі</w:t>
      </w:r>
      <w:r w:rsidR="00A12D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68E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2E6AB4"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правління </w:t>
      </w:r>
      <w:r w:rsidR="00703A31" w:rsidRPr="004C7BDA">
        <w:rPr>
          <w:rFonts w:ascii="Times New Roman" w:hAnsi="Times New Roman" w:cs="Times New Roman"/>
          <w:sz w:val="24"/>
          <w:szCs w:val="24"/>
          <w:lang w:val="uk-UA"/>
        </w:rPr>
        <w:t>на 2020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 рік.</w:t>
      </w:r>
    </w:p>
    <w:p w:rsidR="008830A5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sz w:val="24"/>
          <w:szCs w:val="24"/>
          <w:lang w:val="uk-UA"/>
        </w:rPr>
        <w:t>3.3. Відкриття рахунків, реєстрація і облік зобов’язань та проведення</w:t>
      </w:r>
      <w:r w:rsidR="00A12D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>операцій,  пов’язаних  із  використанням  бюджетних  коштів,  здійснюється</w:t>
      </w:r>
      <w:r w:rsidR="00A12D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>відповідно до Порядку казначейського обслуговування місцевих бюджетів,</w:t>
      </w:r>
      <w:r w:rsidR="00A12D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>затвердженого наказом Міністерства фінансів України від 23 серпня 2012</w:t>
      </w:r>
      <w:r w:rsidR="00A12D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>року № 938.</w:t>
      </w:r>
    </w:p>
    <w:p w:rsidR="00703A31" w:rsidRPr="004C7BDA" w:rsidRDefault="000D77E9" w:rsidP="00542AE2">
      <w:pPr>
        <w:spacing w:before="12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b/>
          <w:sz w:val="24"/>
          <w:szCs w:val="24"/>
        </w:rPr>
        <w:t>4. Напрямки використання бюджетних коштівта контроль за виконанням Заходів</w:t>
      </w:r>
    </w:p>
    <w:p w:rsidR="001614C5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sz w:val="24"/>
          <w:szCs w:val="24"/>
        </w:rPr>
        <w:t xml:space="preserve">4.1. </w:t>
      </w:r>
      <w:r w:rsidR="009A4C35">
        <w:rPr>
          <w:rFonts w:ascii="Times New Roman" w:hAnsi="Times New Roman" w:cs="Times New Roman"/>
          <w:sz w:val="24"/>
          <w:szCs w:val="24"/>
          <w:lang w:val="uk-UA"/>
        </w:rPr>
        <w:t>Надані к</w:t>
      </w:r>
      <w:r w:rsidRPr="004C7BDA">
        <w:rPr>
          <w:rFonts w:ascii="Times New Roman" w:hAnsi="Times New Roman" w:cs="Times New Roman"/>
          <w:sz w:val="24"/>
          <w:szCs w:val="24"/>
        </w:rPr>
        <w:t>ошти</w:t>
      </w:r>
      <w:r w:rsidR="00A12D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 xml:space="preserve">спрямовуються на виконання Заходів </w:t>
      </w:r>
      <w:r w:rsidR="00A12DDB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="00C039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614C5">
        <w:rPr>
          <w:rFonts w:ascii="Times New Roman" w:hAnsi="Times New Roman" w:cs="Times New Roman"/>
          <w:sz w:val="24"/>
          <w:szCs w:val="24"/>
          <w:lang w:val="uk-UA"/>
        </w:rPr>
        <w:t>придбання асенізаційної машини.</w:t>
      </w:r>
    </w:p>
    <w:p w:rsidR="000D77E9" w:rsidRPr="004C7BDA" w:rsidRDefault="000D77E9" w:rsidP="00542AE2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DA">
        <w:rPr>
          <w:rFonts w:ascii="Times New Roman" w:hAnsi="Times New Roman" w:cs="Times New Roman"/>
          <w:b/>
          <w:sz w:val="24"/>
          <w:szCs w:val="24"/>
        </w:rPr>
        <w:t>5. Звітність про використання бюджетних коштів таконтроль за їх витрачанням</w:t>
      </w:r>
    </w:p>
    <w:p w:rsidR="000D77E9" w:rsidRPr="00B1594D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BDA">
        <w:rPr>
          <w:rFonts w:ascii="Times New Roman" w:hAnsi="Times New Roman" w:cs="Times New Roman"/>
          <w:sz w:val="24"/>
          <w:szCs w:val="24"/>
        </w:rPr>
        <w:t>5.1. Керівник підприємства Одержувача надає до</w:t>
      </w:r>
      <w:r w:rsidR="002E6AB4"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</w:t>
      </w:r>
      <w:r w:rsidRPr="004C7BDA">
        <w:rPr>
          <w:rFonts w:ascii="Times New Roman" w:hAnsi="Times New Roman" w:cs="Times New Roman"/>
          <w:sz w:val="24"/>
          <w:szCs w:val="24"/>
        </w:rPr>
        <w:t>перспективні</w:t>
      </w:r>
      <w:r w:rsidR="00A12D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 xml:space="preserve">річні плани виконання Заходів. Річні плани надаються протягом 10 </w:t>
      </w:r>
      <w:r w:rsidRPr="00B1594D">
        <w:rPr>
          <w:rFonts w:ascii="Times New Roman" w:hAnsi="Times New Roman" w:cs="Times New Roman"/>
          <w:sz w:val="24"/>
          <w:szCs w:val="24"/>
        </w:rPr>
        <w:t>робочих</w:t>
      </w:r>
      <w:r w:rsidR="00A12D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1594D">
        <w:rPr>
          <w:rFonts w:ascii="Times New Roman" w:hAnsi="Times New Roman" w:cs="Times New Roman"/>
          <w:sz w:val="24"/>
          <w:szCs w:val="24"/>
        </w:rPr>
        <w:t>днів з да</w:t>
      </w:r>
      <w:r w:rsidR="002E6AB4" w:rsidRPr="00B1594D">
        <w:rPr>
          <w:rFonts w:ascii="Times New Roman" w:hAnsi="Times New Roman" w:cs="Times New Roman"/>
          <w:sz w:val="24"/>
          <w:szCs w:val="24"/>
        </w:rPr>
        <w:t xml:space="preserve">ти прийняття рішення </w:t>
      </w:r>
      <w:r w:rsidR="00B70E96" w:rsidRPr="00B1594D">
        <w:rPr>
          <w:rFonts w:ascii="Times New Roman" w:hAnsi="Times New Roman" w:cs="Times New Roman"/>
          <w:sz w:val="24"/>
          <w:szCs w:val="24"/>
          <w:lang w:val="uk-UA"/>
        </w:rPr>
        <w:t>Роменською</w:t>
      </w:r>
      <w:r w:rsidR="00703A31" w:rsidRPr="00B1594D">
        <w:rPr>
          <w:rFonts w:ascii="Times New Roman" w:hAnsi="Times New Roman" w:cs="Times New Roman"/>
          <w:sz w:val="24"/>
          <w:szCs w:val="24"/>
          <w:lang w:val="uk-UA"/>
        </w:rPr>
        <w:t xml:space="preserve"> м</w:t>
      </w:r>
      <w:r w:rsidR="00B70E96" w:rsidRPr="00B1594D">
        <w:rPr>
          <w:rFonts w:ascii="Times New Roman" w:hAnsi="Times New Roman" w:cs="Times New Roman"/>
          <w:sz w:val="24"/>
          <w:szCs w:val="24"/>
        </w:rPr>
        <w:t>ісько</w:t>
      </w:r>
      <w:r w:rsidR="00B70E96" w:rsidRPr="00B1594D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B1594D">
        <w:rPr>
          <w:rFonts w:ascii="Times New Roman" w:hAnsi="Times New Roman" w:cs="Times New Roman"/>
          <w:sz w:val="24"/>
          <w:szCs w:val="24"/>
        </w:rPr>
        <w:t xml:space="preserve"> рад</w:t>
      </w:r>
      <w:r w:rsidR="00B70E96" w:rsidRPr="00B1594D"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Pr="00B1594D">
        <w:rPr>
          <w:rFonts w:ascii="Times New Roman" w:hAnsi="Times New Roman" w:cs="Times New Roman"/>
          <w:sz w:val="24"/>
          <w:szCs w:val="24"/>
        </w:rPr>
        <w:t>.  Плани повинні бути складені з урахуванням помісячного</w:t>
      </w:r>
      <w:r w:rsidR="00A12D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1594D">
        <w:rPr>
          <w:rFonts w:ascii="Times New Roman" w:hAnsi="Times New Roman" w:cs="Times New Roman"/>
          <w:sz w:val="24"/>
          <w:szCs w:val="24"/>
        </w:rPr>
        <w:t>плану кошторисних призначень.</w:t>
      </w:r>
    </w:p>
    <w:p w:rsidR="000D77E9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594D">
        <w:rPr>
          <w:rFonts w:ascii="Times New Roman" w:hAnsi="Times New Roman" w:cs="Times New Roman"/>
          <w:sz w:val="24"/>
          <w:szCs w:val="24"/>
        </w:rPr>
        <w:t>5.2. Одержувач</w:t>
      </w:r>
      <w:r w:rsidR="00042D22" w:rsidRPr="00B1594D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</w:t>
      </w:r>
      <w:r w:rsidRPr="00B1594D">
        <w:rPr>
          <w:rFonts w:ascii="Times New Roman" w:hAnsi="Times New Roman" w:cs="Times New Roman"/>
          <w:sz w:val="24"/>
          <w:szCs w:val="24"/>
        </w:rPr>
        <w:t xml:space="preserve"> виконання Заходів</w:t>
      </w:r>
      <w:r w:rsidR="00A12D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 xml:space="preserve">надає </w:t>
      </w:r>
      <w:r w:rsidR="002E6AB4" w:rsidRPr="004C7BDA">
        <w:rPr>
          <w:rFonts w:ascii="Times New Roman" w:hAnsi="Times New Roman" w:cs="Times New Roman"/>
          <w:sz w:val="24"/>
          <w:szCs w:val="24"/>
          <w:lang w:val="uk-UA"/>
        </w:rPr>
        <w:t>Управлінню</w:t>
      </w:r>
      <w:r w:rsidR="006E3BE7">
        <w:rPr>
          <w:rFonts w:ascii="Times New Roman" w:hAnsi="Times New Roman" w:cs="Times New Roman"/>
          <w:sz w:val="24"/>
          <w:szCs w:val="24"/>
          <w:lang w:val="uk-UA"/>
        </w:rPr>
        <w:t xml:space="preserve"> пакет документів по проведенню закупівлі асенізаційної машини</w:t>
      </w:r>
      <w:r w:rsidRPr="004C7BDA">
        <w:rPr>
          <w:rFonts w:ascii="Times New Roman" w:hAnsi="Times New Roman" w:cs="Times New Roman"/>
          <w:sz w:val="24"/>
          <w:szCs w:val="24"/>
        </w:rPr>
        <w:t>.</w:t>
      </w:r>
    </w:p>
    <w:p w:rsidR="000D77E9" w:rsidRPr="00B1594D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sz w:val="24"/>
          <w:szCs w:val="24"/>
          <w:lang w:val="uk-UA"/>
        </w:rPr>
        <w:lastRenderedPageBreak/>
        <w:t>5.3. Одержувач коштів</w:t>
      </w:r>
      <w:r w:rsidR="00042D22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 реєстрації бюджетних та фінансових</w:t>
      </w:r>
      <w:r w:rsidR="00A12D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зобов’язань в </w:t>
      </w:r>
      <w:r w:rsidR="00B70E96" w:rsidRPr="00B1594D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управлінні </w:t>
      </w:r>
      <w:r w:rsidR="00FA42F6" w:rsidRPr="00B1594D">
        <w:rPr>
          <w:rFonts w:ascii="Times New Roman" w:hAnsi="Times New Roman" w:cs="Times New Roman"/>
          <w:sz w:val="24"/>
          <w:szCs w:val="24"/>
          <w:lang w:val="uk-UA"/>
        </w:rPr>
        <w:t>Державної казначейської служби</w:t>
      </w:r>
      <w:r w:rsidRPr="00B1594D">
        <w:rPr>
          <w:rFonts w:ascii="Times New Roman" w:hAnsi="Times New Roman" w:cs="Times New Roman"/>
          <w:sz w:val="24"/>
          <w:szCs w:val="24"/>
          <w:lang w:val="uk-UA"/>
        </w:rPr>
        <w:t>, які пов’язані із виконанням</w:t>
      </w:r>
      <w:r w:rsidR="00A12D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1594D">
        <w:rPr>
          <w:rFonts w:ascii="Times New Roman" w:hAnsi="Times New Roman" w:cs="Times New Roman"/>
          <w:sz w:val="24"/>
          <w:szCs w:val="24"/>
          <w:lang w:val="uk-UA"/>
        </w:rPr>
        <w:t xml:space="preserve">Заходів, надає до </w:t>
      </w:r>
      <w:r w:rsidR="002E6AB4" w:rsidRPr="00B1594D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</w:t>
      </w:r>
      <w:r w:rsidRPr="00B1594D">
        <w:rPr>
          <w:rFonts w:ascii="Times New Roman" w:hAnsi="Times New Roman" w:cs="Times New Roman"/>
          <w:sz w:val="24"/>
          <w:szCs w:val="24"/>
          <w:lang w:val="uk-UA"/>
        </w:rPr>
        <w:t xml:space="preserve">заявку на фінансування. </w:t>
      </w:r>
      <w:r w:rsidR="002E6AB4" w:rsidRPr="00B1594D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</w:t>
      </w:r>
      <w:r w:rsidRPr="00B1594D">
        <w:rPr>
          <w:rFonts w:ascii="Times New Roman" w:hAnsi="Times New Roman" w:cs="Times New Roman"/>
          <w:sz w:val="24"/>
          <w:szCs w:val="24"/>
          <w:lang w:val="uk-UA"/>
        </w:rPr>
        <w:t>на  підставі  отр</w:t>
      </w:r>
      <w:r w:rsidR="00B1594D">
        <w:rPr>
          <w:rFonts w:ascii="Times New Roman" w:hAnsi="Times New Roman" w:cs="Times New Roman"/>
          <w:sz w:val="24"/>
          <w:szCs w:val="24"/>
          <w:lang w:val="uk-UA"/>
        </w:rPr>
        <w:t xml:space="preserve">иманих  від  Одержувача  заявок </w:t>
      </w:r>
      <w:r w:rsidRPr="00B1594D">
        <w:rPr>
          <w:rFonts w:ascii="Times New Roman" w:hAnsi="Times New Roman" w:cs="Times New Roman"/>
          <w:sz w:val="24"/>
          <w:szCs w:val="24"/>
          <w:lang w:val="uk-UA"/>
        </w:rPr>
        <w:t>проводить</w:t>
      </w:r>
      <w:r w:rsidR="00A12D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1594D">
        <w:rPr>
          <w:rFonts w:ascii="Times New Roman" w:hAnsi="Times New Roman" w:cs="Times New Roman"/>
          <w:sz w:val="24"/>
          <w:szCs w:val="24"/>
          <w:lang w:val="uk-UA"/>
        </w:rPr>
        <w:t>фінансування Заходів шляхом розподілу</w:t>
      </w:r>
      <w:r w:rsidR="00A12D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1594D">
        <w:rPr>
          <w:rFonts w:ascii="Times New Roman" w:hAnsi="Times New Roman" w:cs="Times New Roman"/>
          <w:sz w:val="24"/>
          <w:szCs w:val="24"/>
          <w:lang w:val="uk-UA"/>
        </w:rPr>
        <w:t>коштів на рахунок  Одержувача,</w:t>
      </w:r>
      <w:r w:rsidR="00A12D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1594D">
        <w:rPr>
          <w:rFonts w:ascii="Times New Roman" w:hAnsi="Times New Roman" w:cs="Times New Roman"/>
          <w:sz w:val="24"/>
          <w:szCs w:val="24"/>
          <w:lang w:val="uk-UA"/>
        </w:rPr>
        <w:t xml:space="preserve">відкритий в </w:t>
      </w:r>
      <w:r w:rsidR="00FA42F6" w:rsidRPr="00B1594D">
        <w:rPr>
          <w:rFonts w:ascii="Times New Roman" w:hAnsi="Times New Roman" w:cs="Times New Roman"/>
          <w:sz w:val="24"/>
          <w:szCs w:val="24"/>
          <w:lang w:val="uk-UA"/>
        </w:rPr>
        <w:t>управлінні Державної казначейської служби</w:t>
      </w:r>
      <w:r w:rsidRPr="00B1594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D77E9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BDA">
        <w:rPr>
          <w:rFonts w:ascii="Times New Roman" w:hAnsi="Times New Roman" w:cs="Times New Roman"/>
          <w:sz w:val="24"/>
          <w:szCs w:val="24"/>
        </w:rPr>
        <w:t>5.4. Одержувач несе повну відповідальність</w:t>
      </w:r>
      <w:r w:rsidR="00941733">
        <w:rPr>
          <w:rFonts w:ascii="Times New Roman" w:hAnsi="Times New Roman" w:cs="Times New Roman"/>
          <w:sz w:val="24"/>
          <w:szCs w:val="24"/>
          <w:lang w:val="uk-UA"/>
        </w:rPr>
        <w:t xml:space="preserve"> за</w:t>
      </w:r>
      <w:r w:rsidRPr="004C7BDA">
        <w:rPr>
          <w:rFonts w:ascii="Times New Roman" w:hAnsi="Times New Roman" w:cs="Times New Roman"/>
          <w:sz w:val="24"/>
          <w:szCs w:val="24"/>
        </w:rPr>
        <w:t>:</w:t>
      </w:r>
    </w:p>
    <w:p w:rsidR="000D77E9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BDA">
        <w:rPr>
          <w:rFonts w:ascii="Times New Roman" w:hAnsi="Times New Roman" w:cs="Times New Roman"/>
          <w:sz w:val="24"/>
          <w:szCs w:val="24"/>
        </w:rPr>
        <w:t>- виконання затверджених цим рішенням Заходів;</w:t>
      </w:r>
    </w:p>
    <w:p w:rsidR="000D77E9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BDA">
        <w:rPr>
          <w:rFonts w:ascii="Times New Roman" w:hAnsi="Times New Roman" w:cs="Times New Roman"/>
          <w:sz w:val="24"/>
          <w:szCs w:val="24"/>
        </w:rPr>
        <w:t>- ефективне, раціональне та цільове використання коштів міського</w:t>
      </w:r>
      <w:r w:rsidR="00A12D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бюджету згідно з чинним законодавством;</w:t>
      </w:r>
    </w:p>
    <w:p w:rsidR="000D77E9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BDA">
        <w:rPr>
          <w:rFonts w:ascii="Times New Roman" w:hAnsi="Times New Roman" w:cs="Times New Roman"/>
          <w:sz w:val="24"/>
          <w:szCs w:val="24"/>
        </w:rPr>
        <w:t xml:space="preserve">- своєчасне надання до </w:t>
      </w:r>
      <w:r w:rsidR="002E6AB4" w:rsidRPr="004C7BDA">
        <w:rPr>
          <w:rFonts w:ascii="Times New Roman" w:hAnsi="Times New Roman" w:cs="Times New Roman"/>
          <w:sz w:val="24"/>
          <w:szCs w:val="24"/>
          <w:lang w:val="uk-UA"/>
        </w:rPr>
        <w:t>Управління</w:t>
      </w:r>
      <w:r w:rsidR="006E3BE7">
        <w:rPr>
          <w:rFonts w:ascii="Times New Roman" w:hAnsi="Times New Roman" w:cs="Times New Roman"/>
          <w:sz w:val="24"/>
          <w:szCs w:val="24"/>
          <w:lang w:val="uk-UA"/>
        </w:rPr>
        <w:t xml:space="preserve"> накладних на одержання техніки</w:t>
      </w:r>
      <w:r w:rsidRPr="004C7BDA">
        <w:rPr>
          <w:rFonts w:ascii="Times New Roman" w:hAnsi="Times New Roman" w:cs="Times New Roman"/>
          <w:sz w:val="24"/>
          <w:szCs w:val="24"/>
        </w:rPr>
        <w:t>, звітів про витрати.</w:t>
      </w:r>
    </w:p>
    <w:p w:rsidR="000D77E9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BDA">
        <w:rPr>
          <w:rFonts w:ascii="Times New Roman" w:hAnsi="Times New Roman" w:cs="Times New Roman"/>
          <w:sz w:val="24"/>
          <w:szCs w:val="24"/>
        </w:rPr>
        <w:t>5.5.  Складання та подання фінансової звітності про використання</w:t>
      </w:r>
      <w:r w:rsidR="00F726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 xml:space="preserve">бюджетних коштів Одержувачем </w:t>
      </w:r>
      <w:r w:rsidRPr="00B1594D">
        <w:rPr>
          <w:rFonts w:ascii="Times New Roman" w:hAnsi="Times New Roman" w:cs="Times New Roman"/>
          <w:sz w:val="24"/>
          <w:szCs w:val="24"/>
        </w:rPr>
        <w:t xml:space="preserve">до </w:t>
      </w:r>
      <w:r w:rsidR="00FA42F6" w:rsidRPr="00B1594D">
        <w:rPr>
          <w:rFonts w:ascii="Times New Roman" w:hAnsi="Times New Roman" w:cs="Times New Roman"/>
          <w:sz w:val="24"/>
          <w:szCs w:val="24"/>
          <w:lang w:val="uk-UA"/>
        </w:rPr>
        <w:t>управління Державної казначейської служби</w:t>
      </w:r>
      <w:r w:rsidRPr="004C7BDA">
        <w:rPr>
          <w:rFonts w:ascii="Times New Roman" w:hAnsi="Times New Roman" w:cs="Times New Roman"/>
          <w:sz w:val="24"/>
          <w:szCs w:val="24"/>
        </w:rPr>
        <w:t xml:space="preserve"> та</w:t>
      </w:r>
      <w:r w:rsidR="00F726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7964" w:rsidRPr="004C7BDA">
        <w:rPr>
          <w:rFonts w:ascii="Times New Roman" w:hAnsi="Times New Roman" w:cs="Times New Roman"/>
          <w:sz w:val="24"/>
          <w:szCs w:val="24"/>
          <w:lang w:val="uk-UA"/>
        </w:rPr>
        <w:t>Управління</w:t>
      </w:r>
      <w:r w:rsidRPr="004C7BDA">
        <w:rPr>
          <w:rFonts w:ascii="Times New Roman" w:hAnsi="Times New Roman" w:cs="Times New Roman"/>
          <w:sz w:val="24"/>
          <w:szCs w:val="24"/>
        </w:rPr>
        <w:t>, а також контроль</w:t>
      </w:r>
      <w:r w:rsidR="00F726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за їх цільовим використанням, здійснюється у встановленому законодавством</w:t>
      </w:r>
      <w:r w:rsidR="00F726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порядку.</w:t>
      </w:r>
    </w:p>
    <w:p w:rsidR="007F587E" w:rsidRPr="00F47FA0" w:rsidRDefault="007F587E" w:rsidP="004C7BD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F587E" w:rsidRPr="00F47FA0" w:rsidRDefault="007F587E" w:rsidP="004C7BD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D0B9D" w:rsidRDefault="000D0B9D" w:rsidP="004C7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D0B9D" w:rsidRDefault="000D0B9D" w:rsidP="004C7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D0B9D" w:rsidRDefault="000D0B9D" w:rsidP="004C7BDA">
      <w:pPr>
        <w:spacing w:after="0"/>
        <w:ind w:left="3402"/>
        <w:jc w:val="both"/>
        <w:rPr>
          <w:rFonts w:ascii="Times New Roman" w:hAnsi="Times New Roman" w:cs="Times New Roman"/>
          <w:b/>
          <w:sz w:val="24"/>
          <w:szCs w:val="24"/>
        </w:rPr>
        <w:sectPr w:rsidR="000D0B9D" w:rsidSect="009A511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84F53" w:rsidRDefault="000D77E9" w:rsidP="004C7BDA">
      <w:pPr>
        <w:spacing w:after="0"/>
        <w:ind w:left="864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D0B9D">
        <w:rPr>
          <w:rFonts w:ascii="Times New Roman" w:hAnsi="Times New Roman" w:cs="Times New Roman"/>
          <w:b/>
          <w:sz w:val="24"/>
          <w:szCs w:val="24"/>
        </w:rPr>
        <w:lastRenderedPageBreak/>
        <w:t>Додаток</w:t>
      </w:r>
    </w:p>
    <w:p w:rsidR="000D0B9D" w:rsidRPr="000D0B9D" w:rsidRDefault="000D77E9" w:rsidP="004C7BDA">
      <w:pPr>
        <w:spacing w:after="0"/>
        <w:ind w:left="864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B9D">
        <w:rPr>
          <w:rFonts w:ascii="Times New Roman" w:hAnsi="Times New Roman" w:cs="Times New Roman"/>
          <w:b/>
          <w:sz w:val="24"/>
          <w:szCs w:val="24"/>
        </w:rPr>
        <w:t>до Порядку використання коштів на</w:t>
      </w:r>
      <w:r w:rsidR="000D0B9D" w:rsidRPr="000D0B9D">
        <w:rPr>
          <w:rFonts w:ascii="Times New Roman" w:hAnsi="Times New Roman" w:cs="Times New Roman"/>
          <w:b/>
          <w:sz w:val="24"/>
          <w:szCs w:val="24"/>
        </w:rPr>
        <w:t>виконання</w:t>
      </w:r>
    </w:p>
    <w:p w:rsidR="000D0B9D" w:rsidRPr="006E3BE7" w:rsidRDefault="007F587E" w:rsidP="006E3BE7">
      <w:pPr>
        <w:spacing w:after="0"/>
        <w:ind w:left="864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D0B9D">
        <w:rPr>
          <w:rFonts w:ascii="Times New Roman" w:hAnsi="Times New Roman" w:cs="Times New Roman"/>
          <w:b/>
          <w:sz w:val="24"/>
          <w:szCs w:val="24"/>
        </w:rPr>
        <w:t>у 20</w:t>
      </w:r>
      <w:r w:rsidRPr="000D0B9D">
        <w:rPr>
          <w:rFonts w:ascii="Times New Roman" w:hAnsi="Times New Roman" w:cs="Times New Roman"/>
          <w:b/>
          <w:sz w:val="24"/>
          <w:szCs w:val="24"/>
          <w:lang w:val="uk-UA"/>
        </w:rPr>
        <w:t>20</w:t>
      </w:r>
      <w:r w:rsidR="000D0B9D" w:rsidRPr="000D0B9D">
        <w:rPr>
          <w:rFonts w:ascii="Times New Roman" w:hAnsi="Times New Roman" w:cs="Times New Roman"/>
          <w:b/>
          <w:sz w:val="24"/>
          <w:szCs w:val="24"/>
        </w:rPr>
        <w:t xml:space="preserve"> році</w:t>
      </w:r>
      <w:r w:rsidR="00F726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D77E9" w:rsidRPr="000D0B9D">
        <w:rPr>
          <w:rFonts w:ascii="Times New Roman" w:hAnsi="Times New Roman" w:cs="Times New Roman"/>
          <w:b/>
          <w:sz w:val="24"/>
          <w:szCs w:val="24"/>
        </w:rPr>
        <w:t xml:space="preserve">Заходів </w:t>
      </w:r>
      <w:r w:rsidR="006E3BE7">
        <w:rPr>
          <w:rFonts w:ascii="Times New Roman" w:hAnsi="Times New Roman" w:cs="Times New Roman"/>
          <w:b/>
          <w:sz w:val="24"/>
          <w:szCs w:val="24"/>
          <w:lang w:val="uk-UA"/>
        </w:rPr>
        <w:t>щодо придбання асенізаційної машини</w:t>
      </w:r>
    </w:p>
    <w:p w:rsidR="007F587E" w:rsidRPr="000D0B9D" w:rsidRDefault="00DF1FF1" w:rsidP="004C7BDA">
      <w:pPr>
        <w:tabs>
          <w:tab w:val="left" w:pos="5535"/>
          <w:tab w:val="right" w:pos="9355"/>
        </w:tabs>
        <w:spacing w:after="0"/>
        <w:ind w:left="864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D0B9D">
        <w:rPr>
          <w:rFonts w:ascii="Times New Roman" w:hAnsi="Times New Roman" w:cs="Times New Roman"/>
          <w:b/>
          <w:sz w:val="24"/>
          <w:szCs w:val="24"/>
          <w:lang w:val="uk-UA"/>
        </w:rPr>
        <w:t>(пункт 4.1</w:t>
      </w:r>
      <w:r w:rsidR="009A4C35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0D0B9D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7F587E" w:rsidRPr="00F47FA0" w:rsidRDefault="007F587E" w:rsidP="004C7BDA">
      <w:pPr>
        <w:tabs>
          <w:tab w:val="left" w:pos="553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D77E9" w:rsidRPr="00F47FA0" w:rsidRDefault="006E3BE7" w:rsidP="004C7BDA">
      <w:pPr>
        <w:tabs>
          <w:tab w:val="left" w:pos="55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ЗАХ</w:t>
      </w:r>
      <w:r w:rsidR="00F7265D">
        <w:rPr>
          <w:rFonts w:ascii="Times New Roman" w:hAnsi="Times New Roman" w:cs="Times New Roman"/>
          <w:b/>
          <w:sz w:val="24"/>
          <w:szCs w:val="24"/>
          <w:lang w:val="uk-UA"/>
        </w:rPr>
        <w:t>О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Д</w:t>
      </w:r>
      <w:r w:rsidR="00F7265D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</w:p>
    <w:p w:rsidR="000D0B9D" w:rsidRDefault="000D0B9D" w:rsidP="004C7BDA">
      <w:pPr>
        <w:tabs>
          <w:tab w:val="left" w:pos="5535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щодо </w:t>
      </w:r>
      <w:r w:rsidR="006E3BE7">
        <w:rPr>
          <w:rFonts w:ascii="Times New Roman" w:hAnsi="Times New Roman" w:cs="Times New Roman"/>
          <w:b/>
          <w:sz w:val="24"/>
          <w:szCs w:val="24"/>
          <w:lang w:val="uk-UA"/>
        </w:rPr>
        <w:t>придбання асенізаційної машини</w:t>
      </w:r>
    </w:p>
    <w:p w:rsidR="00F7265D" w:rsidRPr="00A43CD4" w:rsidRDefault="00F7265D" w:rsidP="004C7BDA">
      <w:pPr>
        <w:tabs>
          <w:tab w:val="left" w:pos="5535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5"/>
        <w:tblW w:w="4926" w:type="pct"/>
        <w:tblLayout w:type="fixed"/>
        <w:tblLook w:val="04A0" w:firstRow="1" w:lastRow="0" w:firstColumn="1" w:lastColumn="0" w:noHBand="0" w:noVBand="1"/>
      </w:tblPr>
      <w:tblGrid>
        <w:gridCol w:w="550"/>
        <w:gridCol w:w="3527"/>
        <w:gridCol w:w="2977"/>
        <w:gridCol w:w="3119"/>
        <w:gridCol w:w="1701"/>
        <w:gridCol w:w="2693"/>
      </w:tblGrid>
      <w:tr w:rsidR="00766278" w:rsidRPr="008F76AF" w:rsidTr="00F7265D">
        <w:tc>
          <w:tcPr>
            <w:tcW w:w="550" w:type="dxa"/>
          </w:tcPr>
          <w:p w:rsidR="00766278" w:rsidRPr="000D0B9D" w:rsidRDefault="00766278" w:rsidP="004C7BDA">
            <w:pPr>
              <w:pStyle w:val="ae"/>
              <w:spacing w:before="0" w:after="0" w:line="276" w:lineRule="auto"/>
              <w:jc w:val="center"/>
              <w:rPr>
                <w:b/>
                <w:lang w:val="uk-UA"/>
              </w:rPr>
            </w:pPr>
            <w:r w:rsidRPr="000D0B9D">
              <w:rPr>
                <w:b/>
                <w:lang w:val="uk-UA"/>
              </w:rPr>
              <w:t>№</w:t>
            </w:r>
          </w:p>
          <w:p w:rsidR="00766278" w:rsidRPr="000D0B9D" w:rsidRDefault="00766278" w:rsidP="004C7BDA">
            <w:pPr>
              <w:pStyle w:val="ae"/>
              <w:spacing w:before="0" w:after="0" w:line="276" w:lineRule="auto"/>
              <w:jc w:val="center"/>
              <w:rPr>
                <w:b/>
                <w:lang w:val="uk-UA"/>
              </w:rPr>
            </w:pPr>
            <w:r w:rsidRPr="000D0B9D">
              <w:rPr>
                <w:b/>
                <w:lang w:val="uk-UA"/>
              </w:rPr>
              <w:t>зп</w:t>
            </w:r>
          </w:p>
          <w:p w:rsidR="00766278" w:rsidRPr="000D0B9D" w:rsidRDefault="00766278" w:rsidP="004C7BDA">
            <w:pPr>
              <w:pStyle w:val="ae"/>
              <w:spacing w:before="0" w:after="0" w:line="27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3527" w:type="dxa"/>
          </w:tcPr>
          <w:p w:rsidR="00766278" w:rsidRPr="000D0B9D" w:rsidRDefault="00766278" w:rsidP="004C7BDA">
            <w:pPr>
              <w:pStyle w:val="ae"/>
              <w:spacing w:before="0" w:after="0" w:line="276" w:lineRule="auto"/>
              <w:jc w:val="center"/>
              <w:rPr>
                <w:b/>
                <w:lang w:val="uk-UA"/>
              </w:rPr>
            </w:pPr>
            <w:r w:rsidRPr="000D0B9D">
              <w:rPr>
                <w:b/>
                <w:lang w:val="uk-UA"/>
              </w:rPr>
              <w:t>Пріоритет розвитку</w:t>
            </w:r>
          </w:p>
          <w:p w:rsidR="00766278" w:rsidRPr="000D0B9D" w:rsidRDefault="00766278" w:rsidP="004C7BDA">
            <w:pPr>
              <w:pStyle w:val="ae"/>
              <w:spacing w:before="0" w:after="0" w:line="27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2977" w:type="dxa"/>
          </w:tcPr>
          <w:p w:rsidR="00766278" w:rsidRPr="000D0B9D" w:rsidRDefault="00766278" w:rsidP="004C7BDA">
            <w:pPr>
              <w:pStyle w:val="ae"/>
              <w:spacing w:before="0" w:after="0" w:line="276" w:lineRule="auto"/>
              <w:ind w:left="122" w:right="96"/>
              <w:jc w:val="center"/>
              <w:rPr>
                <w:b/>
                <w:lang w:val="uk-UA"/>
              </w:rPr>
            </w:pPr>
            <w:r w:rsidRPr="000D0B9D">
              <w:rPr>
                <w:b/>
                <w:lang w:val="uk-UA"/>
              </w:rPr>
              <w:t>Назва заходу</w:t>
            </w:r>
          </w:p>
          <w:p w:rsidR="00766278" w:rsidRPr="000D0B9D" w:rsidRDefault="00766278" w:rsidP="004C7BDA">
            <w:pPr>
              <w:pStyle w:val="ae"/>
              <w:spacing w:before="0" w:after="0" w:line="276" w:lineRule="auto"/>
              <w:ind w:left="122" w:right="96"/>
              <w:jc w:val="center"/>
              <w:rPr>
                <w:b/>
                <w:lang w:val="uk-UA"/>
              </w:rPr>
            </w:pPr>
          </w:p>
        </w:tc>
        <w:tc>
          <w:tcPr>
            <w:tcW w:w="3119" w:type="dxa"/>
          </w:tcPr>
          <w:p w:rsidR="00766278" w:rsidRPr="000D0B9D" w:rsidRDefault="00766278" w:rsidP="004C7BDA">
            <w:pPr>
              <w:pStyle w:val="ae"/>
              <w:spacing w:before="0" w:after="0" w:line="276" w:lineRule="auto"/>
              <w:jc w:val="center"/>
              <w:rPr>
                <w:b/>
                <w:lang w:val="uk-UA"/>
              </w:rPr>
            </w:pPr>
            <w:r w:rsidRPr="000D0B9D">
              <w:rPr>
                <w:b/>
                <w:lang w:val="uk-UA"/>
              </w:rPr>
              <w:t>Джерело фінансування</w:t>
            </w:r>
          </w:p>
          <w:p w:rsidR="00766278" w:rsidRPr="000D0B9D" w:rsidRDefault="00766278" w:rsidP="004C7BDA">
            <w:pPr>
              <w:pStyle w:val="ae"/>
              <w:spacing w:before="0" w:after="0" w:line="27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</w:tcPr>
          <w:p w:rsidR="00766278" w:rsidRPr="000D0B9D" w:rsidRDefault="00766278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0D0B9D">
              <w:rPr>
                <w:rFonts w:ascii="Times New Roman" w:hAnsi="Times New Roman" w:cs="Times New Roman"/>
                <w:b/>
                <w:szCs w:val="24"/>
                <w:lang w:val="uk-UA"/>
              </w:rPr>
              <w:t>Обсяги фінансування</w:t>
            </w:r>
          </w:p>
          <w:p w:rsidR="00766278" w:rsidRPr="000D0B9D" w:rsidRDefault="00015EF9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uk-UA"/>
              </w:rPr>
              <w:t>(гривень</w:t>
            </w:r>
            <w:r w:rsidR="00766278" w:rsidRPr="000D0B9D">
              <w:rPr>
                <w:rFonts w:ascii="Times New Roman" w:hAnsi="Times New Roman" w:cs="Times New Roman"/>
                <w:b/>
                <w:szCs w:val="24"/>
                <w:lang w:val="uk-UA"/>
              </w:rPr>
              <w:t>)</w:t>
            </w:r>
          </w:p>
        </w:tc>
        <w:tc>
          <w:tcPr>
            <w:tcW w:w="2693" w:type="dxa"/>
          </w:tcPr>
          <w:p w:rsidR="00766278" w:rsidRPr="000D0B9D" w:rsidRDefault="00766278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0D0B9D">
              <w:rPr>
                <w:rFonts w:ascii="Times New Roman" w:hAnsi="Times New Roman" w:cs="Times New Roman"/>
                <w:b/>
                <w:szCs w:val="24"/>
                <w:lang w:val="uk-UA"/>
              </w:rPr>
              <w:t>Очікуваний</w:t>
            </w:r>
          </w:p>
          <w:p w:rsidR="00766278" w:rsidRPr="000D0B9D" w:rsidRDefault="00766278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0D0B9D">
              <w:rPr>
                <w:rFonts w:ascii="Times New Roman" w:hAnsi="Times New Roman" w:cs="Times New Roman"/>
                <w:b/>
                <w:szCs w:val="24"/>
                <w:lang w:val="uk-UA"/>
              </w:rPr>
              <w:t>результат</w:t>
            </w:r>
          </w:p>
          <w:p w:rsidR="00766278" w:rsidRPr="000D0B9D" w:rsidRDefault="00766278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</w:p>
          <w:p w:rsidR="00766278" w:rsidRPr="000D0B9D" w:rsidRDefault="00766278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</w:p>
        </w:tc>
      </w:tr>
      <w:tr w:rsidR="00766278" w:rsidRPr="008F76AF" w:rsidTr="00F7265D">
        <w:trPr>
          <w:trHeight w:val="281"/>
        </w:trPr>
        <w:tc>
          <w:tcPr>
            <w:tcW w:w="550" w:type="dxa"/>
          </w:tcPr>
          <w:p w:rsidR="00766278" w:rsidRPr="000D0B9D" w:rsidRDefault="00766278" w:rsidP="004C7BDA">
            <w:pPr>
              <w:pStyle w:val="ae"/>
              <w:spacing w:before="0" w:line="276" w:lineRule="auto"/>
              <w:jc w:val="center"/>
              <w:rPr>
                <w:lang w:val="uk-UA"/>
              </w:rPr>
            </w:pPr>
            <w:r w:rsidRPr="000D0B9D">
              <w:rPr>
                <w:lang w:val="uk-UA"/>
              </w:rPr>
              <w:t>1</w:t>
            </w:r>
          </w:p>
        </w:tc>
        <w:tc>
          <w:tcPr>
            <w:tcW w:w="3527" w:type="dxa"/>
          </w:tcPr>
          <w:p w:rsidR="00766278" w:rsidRPr="000D0B9D" w:rsidRDefault="00766278" w:rsidP="004C7BDA">
            <w:pPr>
              <w:pStyle w:val="ae"/>
              <w:spacing w:before="0" w:after="0" w:line="276" w:lineRule="auto"/>
              <w:ind w:right="169"/>
              <w:jc w:val="center"/>
              <w:rPr>
                <w:lang w:val="uk-UA"/>
              </w:rPr>
            </w:pPr>
            <w:r w:rsidRPr="000D0B9D">
              <w:rPr>
                <w:lang w:val="uk-UA"/>
              </w:rPr>
              <w:t>2</w:t>
            </w:r>
          </w:p>
        </w:tc>
        <w:tc>
          <w:tcPr>
            <w:tcW w:w="2977" w:type="dxa"/>
          </w:tcPr>
          <w:p w:rsidR="00766278" w:rsidRPr="000D0B9D" w:rsidRDefault="00766278" w:rsidP="004C7BDA">
            <w:pPr>
              <w:pStyle w:val="ae"/>
              <w:spacing w:before="0" w:after="0" w:line="276" w:lineRule="auto"/>
              <w:ind w:left="122" w:right="96"/>
              <w:jc w:val="center"/>
              <w:rPr>
                <w:lang w:val="uk-UA"/>
              </w:rPr>
            </w:pPr>
            <w:r w:rsidRPr="000D0B9D">
              <w:rPr>
                <w:lang w:val="uk-UA"/>
              </w:rPr>
              <w:t>3</w:t>
            </w:r>
          </w:p>
        </w:tc>
        <w:tc>
          <w:tcPr>
            <w:tcW w:w="3119" w:type="dxa"/>
          </w:tcPr>
          <w:p w:rsidR="00766278" w:rsidRPr="000D0B9D" w:rsidRDefault="00766278" w:rsidP="004C7BDA">
            <w:pPr>
              <w:pStyle w:val="ae"/>
              <w:spacing w:before="0" w:after="0" w:line="276" w:lineRule="auto"/>
              <w:ind w:left="147"/>
              <w:jc w:val="center"/>
              <w:rPr>
                <w:lang w:val="uk-UA"/>
              </w:rPr>
            </w:pPr>
            <w:r w:rsidRPr="000D0B9D">
              <w:rPr>
                <w:lang w:val="uk-UA"/>
              </w:rPr>
              <w:t>4</w:t>
            </w:r>
          </w:p>
        </w:tc>
        <w:tc>
          <w:tcPr>
            <w:tcW w:w="1701" w:type="dxa"/>
          </w:tcPr>
          <w:p w:rsidR="00766278" w:rsidRPr="000D0B9D" w:rsidRDefault="00766278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0D0B9D">
              <w:rPr>
                <w:rFonts w:ascii="Times New Roman" w:hAnsi="Times New Roman" w:cs="Times New Roman"/>
                <w:szCs w:val="24"/>
                <w:lang w:val="uk-UA"/>
              </w:rPr>
              <w:t>6</w:t>
            </w:r>
          </w:p>
        </w:tc>
        <w:tc>
          <w:tcPr>
            <w:tcW w:w="2693" w:type="dxa"/>
          </w:tcPr>
          <w:p w:rsidR="00766278" w:rsidRPr="000D0B9D" w:rsidRDefault="00766278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0D0B9D">
              <w:rPr>
                <w:rFonts w:ascii="Times New Roman" w:hAnsi="Times New Roman" w:cs="Times New Roman"/>
                <w:szCs w:val="24"/>
                <w:lang w:val="uk-UA"/>
              </w:rPr>
              <w:t>9</w:t>
            </w:r>
          </w:p>
        </w:tc>
      </w:tr>
      <w:tr w:rsidR="00CB4765" w:rsidRPr="00984F53" w:rsidTr="00F7265D">
        <w:trPr>
          <w:trHeight w:val="281"/>
        </w:trPr>
        <w:tc>
          <w:tcPr>
            <w:tcW w:w="550" w:type="dxa"/>
          </w:tcPr>
          <w:p w:rsidR="00CB4765" w:rsidRPr="00984F53" w:rsidRDefault="00CB4765" w:rsidP="004C7BDA">
            <w:pPr>
              <w:pStyle w:val="ae"/>
              <w:spacing w:before="0" w:line="276" w:lineRule="auto"/>
              <w:jc w:val="both"/>
              <w:rPr>
                <w:lang w:val="uk-UA"/>
              </w:rPr>
            </w:pPr>
          </w:p>
        </w:tc>
        <w:tc>
          <w:tcPr>
            <w:tcW w:w="3527" w:type="dxa"/>
          </w:tcPr>
          <w:p w:rsidR="00CB4765" w:rsidRPr="00984F53" w:rsidRDefault="00A35374" w:rsidP="004C7BDA">
            <w:pPr>
              <w:spacing w:line="276" w:lineRule="auto"/>
              <w:ind w:left="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Забезпечення стабільної роботи каналізаційної системи, регулярне та своєчасне очищення каналізаційних колодязів</w:t>
            </w:r>
          </w:p>
        </w:tc>
        <w:tc>
          <w:tcPr>
            <w:tcW w:w="2977" w:type="dxa"/>
          </w:tcPr>
          <w:p w:rsidR="00CB4765" w:rsidRPr="00A35374" w:rsidRDefault="00A35374" w:rsidP="00F7265D">
            <w:pPr>
              <w:spacing w:line="276" w:lineRule="auto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асенізаційної машини</w:t>
            </w:r>
          </w:p>
        </w:tc>
        <w:tc>
          <w:tcPr>
            <w:tcW w:w="3119" w:type="dxa"/>
          </w:tcPr>
          <w:p w:rsidR="00CB4765" w:rsidRPr="00A35374" w:rsidRDefault="00A35374" w:rsidP="009547FA">
            <w:pPr>
              <w:pStyle w:val="ae"/>
              <w:spacing w:before="0" w:after="0"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Субвенція міс</w:t>
            </w:r>
            <w:r w:rsidR="009547FA">
              <w:rPr>
                <w:lang w:val="uk-UA"/>
              </w:rPr>
              <w:t>ьк</w:t>
            </w:r>
            <w:r>
              <w:rPr>
                <w:lang w:val="uk-UA"/>
              </w:rPr>
              <w:t>ого бюд</w:t>
            </w:r>
            <w:r w:rsidR="009547FA">
              <w:rPr>
                <w:lang w:val="uk-UA"/>
              </w:rPr>
              <w:t>-</w:t>
            </w:r>
            <w:r>
              <w:rPr>
                <w:lang w:val="uk-UA"/>
              </w:rPr>
              <w:t>жету на здійснення приро</w:t>
            </w:r>
            <w:r w:rsidR="009547FA">
              <w:rPr>
                <w:lang w:val="uk-UA"/>
              </w:rPr>
              <w:t>-</w:t>
            </w:r>
            <w:r>
              <w:rPr>
                <w:lang w:val="uk-UA"/>
              </w:rPr>
              <w:t>доохоронних заходів</w:t>
            </w:r>
          </w:p>
        </w:tc>
        <w:tc>
          <w:tcPr>
            <w:tcW w:w="1701" w:type="dxa"/>
          </w:tcPr>
          <w:p w:rsidR="00CB4765" w:rsidRPr="00984F53" w:rsidRDefault="00A35374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1200 000,00</w:t>
            </w:r>
          </w:p>
        </w:tc>
        <w:tc>
          <w:tcPr>
            <w:tcW w:w="2693" w:type="dxa"/>
          </w:tcPr>
          <w:p w:rsidR="00CB4765" w:rsidRPr="00984F53" w:rsidRDefault="00A35374" w:rsidP="009417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Стабільна робота каналізаційної мережі</w:t>
            </w:r>
          </w:p>
        </w:tc>
      </w:tr>
    </w:tbl>
    <w:p w:rsidR="00B4538E" w:rsidRDefault="00B4538E" w:rsidP="004C7BD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35374" w:rsidRPr="00984F53" w:rsidRDefault="00A35374" w:rsidP="004C7BD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11CFE" w:rsidRPr="008F76AF" w:rsidRDefault="00BD41B1" w:rsidP="004C7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                                                                                                            Лариса СОСНЕНКО</w:t>
      </w:r>
    </w:p>
    <w:sectPr w:rsidR="00A11CFE" w:rsidRPr="008F76AF" w:rsidSect="009A4C35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781" w:rsidRDefault="00E23781" w:rsidP="00FC2383">
      <w:pPr>
        <w:spacing w:after="0" w:line="240" w:lineRule="auto"/>
      </w:pPr>
      <w:r>
        <w:separator/>
      </w:r>
    </w:p>
  </w:endnote>
  <w:endnote w:type="continuationSeparator" w:id="0">
    <w:p w:rsidR="00E23781" w:rsidRDefault="00E23781" w:rsidP="00FC2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781" w:rsidRDefault="00E23781" w:rsidP="00FC2383">
      <w:pPr>
        <w:spacing w:after="0" w:line="240" w:lineRule="auto"/>
      </w:pPr>
      <w:r>
        <w:separator/>
      </w:r>
    </w:p>
  </w:footnote>
  <w:footnote w:type="continuationSeparator" w:id="0">
    <w:p w:rsidR="00E23781" w:rsidRDefault="00E23781" w:rsidP="00FC2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B7B93"/>
    <w:multiLevelType w:val="hybridMultilevel"/>
    <w:tmpl w:val="E6DC0162"/>
    <w:lvl w:ilvl="0" w:tplc="483463CC">
      <w:start w:val="4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F6375BA"/>
    <w:multiLevelType w:val="hybridMultilevel"/>
    <w:tmpl w:val="D62AA976"/>
    <w:lvl w:ilvl="0" w:tplc="DD6C078C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D7205"/>
    <w:multiLevelType w:val="hybridMultilevel"/>
    <w:tmpl w:val="832221BE"/>
    <w:lvl w:ilvl="0" w:tplc="923C92AE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252A4"/>
    <w:multiLevelType w:val="hybridMultilevel"/>
    <w:tmpl w:val="C9B60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D77E9"/>
    <w:rsid w:val="000021CD"/>
    <w:rsid w:val="00015EF9"/>
    <w:rsid w:val="00042D22"/>
    <w:rsid w:val="000476CE"/>
    <w:rsid w:val="00055429"/>
    <w:rsid w:val="000B3220"/>
    <w:rsid w:val="000C28EA"/>
    <w:rsid w:val="000D0B9D"/>
    <w:rsid w:val="000D77E9"/>
    <w:rsid w:val="00115EDE"/>
    <w:rsid w:val="00141CA1"/>
    <w:rsid w:val="001614C5"/>
    <w:rsid w:val="00190A6E"/>
    <w:rsid w:val="00191332"/>
    <w:rsid w:val="001A17B2"/>
    <w:rsid w:val="001E6C0F"/>
    <w:rsid w:val="001E728A"/>
    <w:rsid w:val="001F73A4"/>
    <w:rsid w:val="00236D77"/>
    <w:rsid w:val="00250C92"/>
    <w:rsid w:val="00253264"/>
    <w:rsid w:val="002840B1"/>
    <w:rsid w:val="002859A4"/>
    <w:rsid w:val="002A1F70"/>
    <w:rsid w:val="002A7909"/>
    <w:rsid w:val="002B0408"/>
    <w:rsid w:val="002C357D"/>
    <w:rsid w:val="002D5E5E"/>
    <w:rsid w:val="002E2B99"/>
    <w:rsid w:val="002E6AB4"/>
    <w:rsid w:val="0030402F"/>
    <w:rsid w:val="0037003D"/>
    <w:rsid w:val="003C2736"/>
    <w:rsid w:val="003C7527"/>
    <w:rsid w:val="003D1B11"/>
    <w:rsid w:val="004076AD"/>
    <w:rsid w:val="00431767"/>
    <w:rsid w:val="00442932"/>
    <w:rsid w:val="00446771"/>
    <w:rsid w:val="004704DA"/>
    <w:rsid w:val="004938BC"/>
    <w:rsid w:val="004A0A7F"/>
    <w:rsid w:val="004A3C80"/>
    <w:rsid w:val="004A57A2"/>
    <w:rsid w:val="004C7BDA"/>
    <w:rsid w:val="004D099A"/>
    <w:rsid w:val="004F19FE"/>
    <w:rsid w:val="004F29F9"/>
    <w:rsid w:val="004F390C"/>
    <w:rsid w:val="004F4071"/>
    <w:rsid w:val="00542AE2"/>
    <w:rsid w:val="00552F5E"/>
    <w:rsid w:val="00560382"/>
    <w:rsid w:val="00576A38"/>
    <w:rsid w:val="00596326"/>
    <w:rsid w:val="005A2651"/>
    <w:rsid w:val="005E5C7A"/>
    <w:rsid w:val="00612B75"/>
    <w:rsid w:val="00623E5A"/>
    <w:rsid w:val="00650451"/>
    <w:rsid w:val="00651169"/>
    <w:rsid w:val="00663343"/>
    <w:rsid w:val="006759CA"/>
    <w:rsid w:val="00676734"/>
    <w:rsid w:val="00697FBC"/>
    <w:rsid w:val="006B662B"/>
    <w:rsid w:val="006E362C"/>
    <w:rsid w:val="006E3BE7"/>
    <w:rsid w:val="006F5E3E"/>
    <w:rsid w:val="00703A31"/>
    <w:rsid w:val="007101E9"/>
    <w:rsid w:val="00766278"/>
    <w:rsid w:val="00797964"/>
    <w:rsid w:val="007A3B12"/>
    <w:rsid w:val="007A5FA3"/>
    <w:rsid w:val="007B0DDA"/>
    <w:rsid w:val="007B5ECC"/>
    <w:rsid w:val="007E1181"/>
    <w:rsid w:val="007F587E"/>
    <w:rsid w:val="00803E1B"/>
    <w:rsid w:val="008073CE"/>
    <w:rsid w:val="00825EAC"/>
    <w:rsid w:val="00865F8E"/>
    <w:rsid w:val="008830A5"/>
    <w:rsid w:val="008B7223"/>
    <w:rsid w:val="008C25B6"/>
    <w:rsid w:val="008D3C88"/>
    <w:rsid w:val="008D4424"/>
    <w:rsid w:val="008F76AF"/>
    <w:rsid w:val="00905D0A"/>
    <w:rsid w:val="009068EA"/>
    <w:rsid w:val="00925329"/>
    <w:rsid w:val="00937683"/>
    <w:rsid w:val="009403BF"/>
    <w:rsid w:val="00941733"/>
    <w:rsid w:val="009547FA"/>
    <w:rsid w:val="00967B87"/>
    <w:rsid w:val="00984F53"/>
    <w:rsid w:val="00987109"/>
    <w:rsid w:val="00997D6B"/>
    <w:rsid w:val="009A4C35"/>
    <w:rsid w:val="009A5114"/>
    <w:rsid w:val="009B387B"/>
    <w:rsid w:val="009D1044"/>
    <w:rsid w:val="009E1B4A"/>
    <w:rsid w:val="00A11CFE"/>
    <w:rsid w:val="00A12DDB"/>
    <w:rsid w:val="00A35374"/>
    <w:rsid w:val="00A43CD4"/>
    <w:rsid w:val="00A74BA4"/>
    <w:rsid w:val="00A750A7"/>
    <w:rsid w:val="00AF09A5"/>
    <w:rsid w:val="00AF1BEA"/>
    <w:rsid w:val="00AF58FC"/>
    <w:rsid w:val="00B1594D"/>
    <w:rsid w:val="00B4538E"/>
    <w:rsid w:val="00B65F5B"/>
    <w:rsid w:val="00B66F37"/>
    <w:rsid w:val="00B70E96"/>
    <w:rsid w:val="00BA7FA3"/>
    <w:rsid w:val="00BD41B1"/>
    <w:rsid w:val="00BF60BE"/>
    <w:rsid w:val="00C00896"/>
    <w:rsid w:val="00C02919"/>
    <w:rsid w:val="00C03983"/>
    <w:rsid w:val="00C05343"/>
    <w:rsid w:val="00C63F0F"/>
    <w:rsid w:val="00C7729C"/>
    <w:rsid w:val="00C8257A"/>
    <w:rsid w:val="00CA2DE8"/>
    <w:rsid w:val="00CA536F"/>
    <w:rsid w:val="00CB4765"/>
    <w:rsid w:val="00CC61B6"/>
    <w:rsid w:val="00CE52E3"/>
    <w:rsid w:val="00D1590B"/>
    <w:rsid w:val="00D21F72"/>
    <w:rsid w:val="00D25EDC"/>
    <w:rsid w:val="00D372D1"/>
    <w:rsid w:val="00D53F51"/>
    <w:rsid w:val="00D636E7"/>
    <w:rsid w:val="00D72A0B"/>
    <w:rsid w:val="00D72BFC"/>
    <w:rsid w:val="00D871EC"/>
    <w:rsid w:val="00DB6776"/>
    <w:rsid w:val="00DD0B6D"/>
    <w:rsid w:val="00DD7638"/>
    <w:rsid w:val="00DE134E"/>
    <w:rsid w:val="00DE613B"/>
    <w:rsid w:val="00DF1FF1"/>
    <w:rsid w:val="00E10761"/>
    <w:rsid w:val="00E13A81"/>
    <w:rsid w:val="00E205B4"/>
    <w:rsid w:val="00E23781"/>
    <w:rsid w:val="00E4056B"/>
    <w:rsid w:val="00E517DB"/>
    <w:rsid w:val="00E6292A"/>
    <w:rsid w:val="00E667CC"/>
    <w:rsid w:val="00EB40D0"/>
    <w:rsid w:val="00ED46FF"/>
    <w:rsid w:val="00ED5D9D"/>
    <w:rsid w:val="00F07F0F"/>
    <w:rsid w:val="00F131DE"/>
    <w:rsid w:val="00F26023"/>
    <w:rsid w:val="00F36E16"/>
    <w:rsid w:val="00F47FA0"/>
    <w:rsid w:val="00F7237E"/>
    <w:rsid w:val="00F7265D"/>
    <w:rsid w:val="00F72A28"/>
    <w:rsid w:val="00F75030"/>
    <w:rsid w:val="00F8020B"/>
    <w:rsid w:val="00F82145"/>
    <w:rsid w:val="00F90D16"/>
    <w:rsid w:val="00FA42F6"/>
    <w:rsid w:val="00FB4504"/>
    <w:rsid w:val="00FC04AB"/>
    <w:rsid w:val="00FC2383"/>
    <w:rsid w:val="00FD3E9A"/>
    <w:rsid w:val="00FF2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93BFC"/>
  <w15:docId w15:val="{3AA9E191-90D1-4F1E-8447-781A8411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B11"/>
  </w:style>
  <w:style w:type="paragraph" w:styleId="1">
    <w:name w:val="heading 1"/>
    <w:basedOn w:val="a"/>
    <w:next w:val="a"/>
    <w:link w:val="10"/>
    <w:qFormat/>
    <w:rsid w:val="000554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97D6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997D6B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053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FC2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383"/>
  </w:style>
  <w:style w:type="paragraph" w:styleId="a8">
    <w:name w:val="footer"/>
    <w:basedOn w:val="a"/>
    <w:link w:val="a9"/>
    <w:uiPriority w:val="99"/>
    <w:semiHidden/>
    <w:unhideWhenUsed/>
    <w:rsid w:val="00FC2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383"/>
  </w:style>
  <w:style w:type="character" w:customStyle="1" w:styleId="10">
    <w:name w:val="Заголовок 1 Знак"/>
    <w:basedOn w:val="a0"/>
    <w:link w:val="1"/>
    <w:rsid w:val="00055429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055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5429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8F76A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F76AF"/>
  </w:style>
  <w:style w:type="paragraph" w:styleId="ae">
    <w:name w:val="Normal (Web)"/>
    <w:basedOn w:val="a"/>
    <w:uiPriority w:val="99"/>
    <w:rsid w:val="008F76AF"/>
    <w:pPr>
      <w:spacing w:before="30" w:after="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FF2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D647D-BF1D-4B2B-9E76-085E695AF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Наталiя</cp:lastModifiedBy>
  <cp:revision>6</cp:revision>
  <cp:lastPrinted>2020-07-15T12:14:00Z</cp:lastPrinted>
  <dcterms:created xsi:type="dcterms:W3CDTF">2020-07-09T05:35:00Z</dcterms:created>
  <dcterms:modified xsi:type="dcterms:W3CDTF">2020-07-15T12:14:00Z</dcterms:modified>
</cp:coreProperties>
</file>