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E10761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055429" w:rsidRDefault="00055429" w:rsidP="009E1B4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E1B4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704DA" w:rsidTr="00650451">
        <w:tc>
          <w:tcPr>
            <w:tcW w:w="5778" w:type="dxa"/>
          </w:tcPr>
          <w:p w:rsidR="004704DA" w:rsidRPr="007A4193" w:rsidRDefault="004704DA" w:rsidP="007C7E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55429" w:rsidRDefault="009A5114" w:rsidP="006E36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утримання бульварів та скверів, інших озеленених територій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Ромни на 2020-2021 роки»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>міської ради від 17.12.2019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ради,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 –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“Організаці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КЕКВ  2610 “Субсидії  та  поточні  трансферти  підприємствам,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організаціям” по заходу «Утримання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бульварів та скверів, інших озеленених територій міста Ромни»</w:t>
      </w:r>
      <w:r w:rsidR="00925329">
        <w:rPr>
          <w:rFonts w:ascii="Times New Roman" w:hAnsi="Times New Roman" w:cs="Times New Roman"/>
          <w:sz w:val="24"/>
          <w:szCs w:val="24"/>
          <w:lang w:val="uk-UA"/>
        </w:rPr>
        <w:t xml:space="preserve"> на суму 937 087,51 грн.(дев’ятсот тридцять сім тисяч вісімдесят сім  гривень 51 копійка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) 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оцінкою відповідності показників діяльності </w:t>
      </w:r>
      <w:r w:rsidR="00E517DB" w:rsidRPr="00F75030"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 w:rsidR="00DB6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6E362C">
        <w:rPr>
          <w:rFonts w:ascii="Times New Roman" w:hAnsi="Times New Roman" w:cs="Times New Roman"/>
          <w:sz w:val="24"/>
          <w:szCs w:val="24"/>
        </w:rPr>
        <w:t>використання коштів на виконання у 20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E362C" w:rsidRPr="006E362C">
        <w:rPr>
          <w:rFonts w:ascii="Times New Roman" w:hAnsi="Times New Roman" w:cs="Times New Roman"/>
          <w:sz w:val="24"/>
          <w:szCs w:val="24"/>
        </w:rPr>
        <w:t xml:space="preserve"> році заходів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6E362C" w:rsidRPr="006E362C">
        <w:rPr>
          <w:rFonts w:ascii="Times New Roman" w:hAnsi="Times New Roman" w:cs="Times New Roman"/>
          <w:sz w:val="24"/>
          <w:szCs w:val="24"/>
        </w:rPr>
        <w:t>утримання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бульварів та скверів, інших озеленених територій міста Ромни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</w:t>
      </w:r>
    </w:p>
    <w:p w:rsidR="006E362C" w:rsidRPr="006E362C" w:rsidRDefault="006E362C" w:rsidP="000D77E9">
      <w:pPr>
        <w:rPr>
          <w:rFonts w:ascii="Times New Roman" w:hAnsi="Times New Roman" w:cs="Times New Roman"/>
          <w:b/>
          <w:sz w:val="24"/>
          <w:szCs w:val="24"/>
        </w:rPr>
      </w:pPr>
    </w:p>
    <w:p w:rsidR="000D77E9" w:rsidRPr="00F47FA0" w:rsidRDefault="007101E9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7101E9" w:rsidRPr="00F47FA0" w:rsidRDefault="007101E9" w:rsidP="000D7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10.03.2020 № </w:t>
      </w:r>
      <w:r w:rsidR="009E1B4A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C05343" w:rsidRDefault="000D77E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підприємства«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4704DA" w:rsidRPr="004704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</w:p>
    <w:p w:rsidR="004F4071" w:rsidRPr="00542AE2" w:rsidRDefault="004F4071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4F407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відповідним  профілем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 та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343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4C7BDA" w:rsidRDefault="004C7BDA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 комунальних підприємств» РМР за відповідним профілем надає послуги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07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січня  2017 року. 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досвід по наданню послуг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прибирання територій міста.</w:t>
            </w:r>
          </w:p>
          <w:p w:rsidR="00115EDE" w:rsidRPr="004C7BDA" w:rsidRDefault="00115EDE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115EDE" w:rsidRPr="004C7BDA" w:rsidRDefault="00542AE2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оговорів від 19.03.2018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 01.01.2018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 01.11.2019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158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rPr>
          <w:trHeight w:val="946"/>
        </w:trPr>
        <w:tc>
          <w:tcPr>
            <w:tcW w:w="567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F72A28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4C7BDA" w:rsidRDefault="00115ED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50 осіб відповідної кваліфікації.</w:t>
            </w:r>
          </w:p>
          <w:p w:rsidR="00576A38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D25EDC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відповідну  кваліфі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кацію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підприємства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10.03.2020</w:t>
            </w:r>
            <w:r w:rsidR="00542AE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</w:t>
            </w:r>
          </w:p>
          <w:p w:rsidR="00115EDE" w:rsidRPr="004C7BDA" w:rsidRDefault="00115ED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підприємстві  наявні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</w:t>
            </w:r>
            <w:r w:rsidR="00576A38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76A38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 цінності,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необхідні  для забез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  прибирання  території міста від сміття та очищення снігу.</w:t>
            </w:r>
          </w:p>
          <w:p w:rsidR="00115EDE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115EDE" w:rsidRPr="004C7BDA" w:rsidRDefault="00115EDE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матеріально-технічне забезпечення  підприємства  для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 відповідних  послуг  та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38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від 10.03.2020 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167</w:t>
            </w:r>
          </w:p>
        </w:tc>
        <w:tc>
          <w:tcPr>
            <w:tcW w:w="1325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C05343" w:rsidRPr="004C7BDA" w:rsidRDefault="00F07F0F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бездефіцитного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фінан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сово-економічного розрахунку 20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</w:tcPr>
          <w:p w:rsidR="00C05343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кошторисної вартості робіт</w:t>
            </w:r>
          </w:p>
        </w:tc>
        <w:tc>
          <w:tcPr>
            <w:tcW w:w="1325" w:type="dxa"/>
          </w:tcPr>
          <w:p w:rsidR="00C05343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</w:tcPr>
          <w:p w:rsidR="00F07F0F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діяльністьодержувача за останнідва роки</w:t>
            </w:r>
          </w:p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A38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результат діяль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підприємства:</w:t>
            </w:r>
          </w:p>
          <w:p w:rsidR="00576A38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2018 рік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141,8 тис. грн</w:t>
            </w:r>
          </w:p>
          <w:p w:rsidR="00D25EDC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2019 рік – 0,5 тис. грн</w:t>
            </w:r>
          </w:p>
        </w:tc>
        <w:tc>
          <w:tcPr>
            <w:tcW w:w="1325" w:type="dxa"/>
          </w:tcPr>
          <w:p w:rsidR="00C05343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25EDC" w:rsidRPr="004C7BDA" w:rsidRDefault="00D25EDC" w:rsidP="004C7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D25EDC" w:rsidRPr="00542AE2" w:rsidRDefault="00D25EDC" w:rsidP="004C7BDA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"/>
        <w:gridCol w:w="3819"/>
        <w:gridCol w:w="9"/>
        <w:gridCol w:w="3960"/>
        <w:gridCol w:w="9"/>
        <w:gridCol w:w="1316"/>
        <w:gridCol w:w="9"/>
      </w:tblGrid>
      <w:tr w:rsidR="00D25EDC" w:rsidRPr="004C7BDA" w:rsidTr="00DF1FF1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D25EDC" w:rsidRPr="004C7BDA" w:rsidRDefault="00D25EDC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2"/>
          </w:tcPr>
          <w:p w:rsidR="00D25EDC" w:rsidRPr="004C7BDA" w:rsidRDefault="00D25EDC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25EDC" w:rsidRPr="004C7BDA" w:rsidTr="00DF1FF1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 заборго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ваності за</w:t>
            </w:r>
            <w:r w:rsidR="004704DA" w:rsidRPr="0047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  банками</w:t>
            </w:r>
            <w:r w:rsidR="004704DA" w:rsidRPr="00470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3969" w:type="dxa"/>
            <w:gridSpan w:val="2"/>
          </w:tcPr>
          <w:p w:rsidR="00D25EDC" w:rsidRPr="004C7BDA" w:rsidRDefault="007A3B12" w:rsidP="00542AE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простроченої заборгованості за наданими банками кредитами</w:t>
            </w:r>
          </w:p>
        </w:tc>
        <w:tc>
          <w:tcPr>
            <w:tcW w:w="1325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DF1FF1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="004704DA" w:rsidRPr="004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таїх якості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325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C7527" w:rsidRPr="004C7BDA" w:rsidTr="00DF1FF1">
        <w:tc>
          <w:tcPr>
            <w:tcW w:w="576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r w:rsidR="00470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договірних умов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69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DF1FF1">
        <w:tc>
          <w:tcPr>
            <w:tcW w:w="576" w:type="dxa"/>
            <w:gridSpan w:val="2"/>
          </w:tcPr>
          <w:p w:rsidR="00A750A7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8" w:type="dxa"/>
            <w:gridSpan w:val="2"/>
          </w:tcPr>
          <w:p w:rsidR="00A750A7" w:rsidRPr="004C7BDA" w:rsidRDefault="00A750A7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по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Коржівській, 94</w:t>
            </w:r>
          </w:p>
        </w:tc>
        <w:tc>
          <w:tcPr>
            <w:tcW w:w="3969" w:type="dxa"/>
            <w:gridSpan w:val="2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38 902,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87 грн </w:t>
            </w:r>
          </w:p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A750A7" w:rsidRPr="00542AE2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42AE2">
              <w:rPr>
                <w:rFonts w:ascii="Times New Roman" w:hAnsi="Times New Roman" w:cs="Times New Roman"/>
                <w:lang w:val="uk-UA"/>
              </w:rPr>
              <w:t>Зведений кошторисний розрахунок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A750A7" w:rsidRPr="00542AE2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0A7" w:rsidRPr="004C7BDA" w:rsidTr="00DF1FF1">
        <w:tc>
          <w:tcPr>
            <w:tcW w:w="576" w:type="dxa"/>
            <w:gridSpan w:val="2"/>
          </w:tcPr>
          <w:p w:rsidR="00A750A7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828" w:type="dxa"/>
            <w:gridSpan w:val="2"/>
          </w:tcPr>
          <w:p w:rsidR="00A750A7" w:rsidRPr="004C7BDA" w:rsidRDefault="00A750A7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по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(привокзальний)</w:t>
            </w:r>
          </w:p>
        </w:tc>
        <w:tc>
          <w:tcPr>
            <w:tcW w:w="3969" w:type="dxa"/>
            <w:gridSpan w:val="2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56 196,14 грн</w:t>
            </w:r>
          </w:p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DF1FF1">
        <w:tc>
          <w:tcPr>
            <w:tcW w:w="576" w:type="dxa"/>
            <w:gridSpan w:val="2"/>
          </w:tcPr>
          <w:p w:rsidR="00FB4504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28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Шевченка</w:t>
            </w:r>
          </w:p>
        </w:tc>
        <w:tc>
          <w:tcPr>
            <w:tcW w:w="3969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199 648,76 грн. 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4F4071">
        <w:trPr>
          <w:gridAfter w:val="1"/>
          <w:wAfter w:w="9" w:type="dxa"/>
        </w:trPr>
        <w:tc>
          <w:tcPr>
            <w:tcW w:w="567" w:type="dxa"/>
          </w:tcPr>
          <w:p w:rsidR="00FB4504" w:rsidRPr="004C7BDA" w:rsidRDefault="00FB4504" w:rsidP="004C7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Свободи</w:t>
            </w:r>
          </w:p>
        </w:tc>
        <w:tc>
          <w:tcPr>
            <w:tcW w:w="3969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199 888,10 грн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542AE2" w:rsidRDefault="00FB4504" w:rsidP="003B3FEC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DF1FF1" w:rsidRDefault="00FB4504" w:rsidP="00542A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  <w:p w:rsidR="00542AE2" w:rsidRPr="004C7BDA" w:rsidRDefault="00542AE2" w:rsidP="00542AE2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1FF1" w:rsidRPr="004C7BDA" w:rsidRDefault="00DF1FF1" w:rsidP="004C7BD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DF1FF1" w:rsidRPr="004C7BDA" w:rsidTr="00767A75">
        <w:tc>
          <w:tcPr>
            <w:tcW w:w="567" w:type="dxa"/>
          </w:tcPr>
          <w:p w:rsidR="00DF1FF1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DF1FF1" w:rsidRPr="004C7BDA" w:rsidRDefault="00DF1FF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DF1FF1" w:rsidRPr="004C7BDA" w:rsidRDefault="00DF1FF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DF1FF1" w:rsidRPr="004C7BDA" w:rsidRDefault="00DF1FF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B4504" w:rsidRPr="004C7BDA" w:rsidTr="004F4071">
        <w:tc>
          <w:tcPr>
            <w:tcW w:w="567" w:type="dxa"/>
          </w:tcPr>
          <w:p w:rsidR="00FB4504" w:rsidRPr="004C7BDA" w:rsidRDefault="00FB4504" w:rsidP="004C7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Московський</w:t>
            </w:r>
          </w:p>
        </w:tc>
        <w:tc>
          <w:tcPr>
            <w:tcW w:w="3969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199 749,05 грн 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4F4071">
        <w:tc>
          <w:tcPr>
            <w:tcW w:w="567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FB4504" w:rsidRPr="004C7BDA" w:rsidRDefault="00FB4504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</w:t>
            </w:r>
          </w:p>
        </w:tc>
        <w:tc>
          <w:tcPr>
            <w:tcW w:w="3969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92 619,00 грн. 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4F4071">
        <w:tc>
          <w:tcPr>
            <w:tcW w:w="567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FB4504" w:rsidRPr="004C7BDA" w:rsidRDefault="00FB4504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7A3B1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7A3B1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тьмана Мазепи</w:t>
            </w:r>
          </w:p>
        </w:tc>
        <w:tc>
          <w:tcPr>
            <w:tcW w:w="3969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113 706,01 грн.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7"/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7"/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7"/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7"/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7"/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4F4071">
        <w:tc>
          <w:tcPr>
            <w:tcW w:w="567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FB4504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по б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ульвар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3969" w:type="dxa"/>
          </w:tcPr>
          <w:p w:rsidR="009B387B" w:rsidRPr="004C7BDA" w:rsidRDefault="009B387B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36 377,58 грн</w:t>
            </w:r>
          </w:p>
          <w:p w:rsidR="009B387B" w:rsidRPr="004C7BDA" w:rsidRDefault="009B387B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DB6776" w:rsidRDefault="00DB6776" w:rsidP="00DB6776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4F4071">
        <w:tc>
          <w:tcPr>
            <w:tcW w:w="567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визнанов  установ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леному</w:t>
            </w:r>
            <w:r w:rsidR="0067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порядку  банкрутом,  не</w:t>
            </w:r>
            <w:r w:rsidR="0067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 w:rsidR="0067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ство  і  він  не</w:t>
            </w:r>
            <w:r w:rsidR="0067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  в  стадії</w:t>
            </w:r>
            <w:r w:rsidR="0067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3969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ідсутності порушених проваджень у</w:t>
            </w:r>
            <w:r w:rsidR="00675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E613B" w:rsidRPr="004C7BDA" w:rsidRDefault="00DE613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13B" w:rsidRPr="004C7BDA" w:rsidRDefault="00DF1FF1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ab/>
        <w:t>Ігор ТЕТІРКО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10.03.2020 № </w:t>
      </w:r>
      <w:r w:rsidR="009E1B4A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bookmarkStart w:id="0" w:name="_GoBack"/>
      <w:bookmarkEnd w:id="0"/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D5E5E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викорис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тання коштів на виконання у 20</w:t>
      </w:r>
      <w:r w:rsidR="00D21F72" w:rsidRPr="004C7BDA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 році заходів</w:t>
      </w:r>
      <w:r w:rsidR="000D0B9D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2D5E5E" w:rsidRPr="004C7BDA">
        <w:rPr>
          <w:rFonts w:ascii="Times New Roman" w:hAnsi="Times New Roman" w:cs="Times New Roman"/>
          <w:b/>
          <w:sz w:val="24"/>
          <w:szCs w:val="24"/>
        </w:rPr>
        <w:t>утримання</w:t>
      </w:r>
      <w:r w:rsidR="002D5E5E" w:rsidRPr="004C7BDA">
        <w:rPr>
          <w:rFonts w:ascii="Times New Roman" w:hAnsi="Times New Roman" w:cs="Times New Roman"/>
          <w:b/>
          <w:sz w:val="24"/>
          <w:szCs w:val="24"/>
          <w:lang w:val="uk-UA"/>
        </w:rPr>
        <w:t>бульварів та скверів, інших озеленених територій міста Ромни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Порядок використання коштів на виконання у 2020 році заходів щодо утримання бульварів та скверів, інших озеленених територій міста Ромни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 міського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Ромни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2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020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по загальному фонду на виконання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бульварів та скверів, інших озеленених територій міста Ромни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2D5E5E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Комбінат комунальних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2.1.  Забезпечення прозорої та ефективної процедури використання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Сприяння утриманню в належному санітарному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стані бульварів та скверів, інших озеленених територій міста Ромни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803E1B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бульварів та скверів, інших озеленених територій міста Ромни.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проводить  в  межах  сум,  передбачених  бюджетними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4704DA" w:rsidRPr="004704DA">
        <w:rPr>
          <w:rFonts w:ascii="Times New Roman" w:hAnsi="Times New Roman" w:cs="Times New Roman"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на 2020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проведенняоперацій,  пов’язаних  із  використанням  бюджетних  коштів,  здійснюється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4704DA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коштівта контроль за виконанням Заходів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4.1. Кошти, що надаються, спрямовуються на виконання Заходів згідно</w:t>
      </w:r>
      <w:r w:rsidR="00B1594D" w:rsidRPr="00B1594D">
        <w:rPr>
          <w:rFonts w:ascii="Times New Roman" w:hAnsi="Times New Roman" w:cs="Times New Roman"/>
          <w:sz w:val="24"/>
          <w:szCs w:val="24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з додатком</w:t>
      </w:r>
      <w:r w:rsidR="00B1594D" w:rsidRPr="00B1594D">
        <w:rPr>
          <w:rFonts w:ascii="Times New Roman" w:hAnsi="Times New Roman" w:cs="Times New Roman"/>
          <w:sz w:val="24"/>
          <w:szCs w:val="24"/>
        </w:rPr>
        <w:t xml:space="preserve"> д</w:t>
      </w:r>
      <w:r w:rsidR="00984F53" w:rsidRPr="004C7BDA">
        <w:rPr>
          <w:rFonts w:ascii="Times New Roman" w:hAnsi="Times New Roman" w:cs="Times New Roman"/>
          <w:sz w:val="24"/>
          <w:szCs w:val="24"/>
          <w:lang w:val="uk-UA"/>
        </w:rPr>
        <w:t>о цього Порядку.</w:t>
      </w:r>
    </w:p>
    <w:p w:rsidR="000D77E9" w:rsidRPr="009068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Одержувачем</w:t>
      </w:r>
      <w:r w:rsidR="00B70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Управлінням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 використання  в  межах  відповідних  бюджетних</w:t>
      </w:r>
      <w:r w:rsidR="00B70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4.3. Бюджетні кошти, що виділяються на виконання Заходів,</w:t>
      </w:r>
      <w:r w:rsidR="00015EF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4C7BDA">
        <w:rPr>
          <w:rFonts w:ascii="Times New Roman" w:hAnsi="Times New Roman" w:cs="Times New Roman"/>
          <w:sz w:val="24"/>
          <w:szCs w:val="24"/>
        </w:rPr>
        <w:t>икористовуються Одержувачем на: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lastRenderedPageBreak/>
        <w:t>-  заробітну плату працівник</w:t>
      </w:r>
      <w:r w:rsidR="008830A5" w:rsidRPr="004C7BDA">
        <w:rPr>
          <w:rFonts w:ascii="Times New Roman" w:hAnsi="Times New Roman" w:cs="Times New Roman"/>
          <w:sz w:val="24"/>
          <w:szCs w:val="24"/>
        </w:rPr>
        <w:t>ам підприємства (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двірники, водії</w:t>
      </w:r>
      <w:r w:rsidRPr="004C7BDA">
        <w:rPr>
          <w:rFonts w:ascii="Times New Roman" w:hAnsi="Times New Roman" w:cs="Times New Roman"/>
          <w:sz w:val="24"/>
          <w:szCs w:val="24"/>
        </w:rPr>
        <w:t>),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 нарахування на заробітну плату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(загальновиробничі та адміністративні витрати);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інвентар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>, витратн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их матеріалів,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A31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спеціального одягу;</w:t>
      </w:r>
    </w:p>
    <w:p w:rsidR="008830A5" w:rsidRPr="004C7BDA" w:rsidRDefault="004F19FE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- податок на додану вартість.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таконтроль за їх 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5.1. Керівник підприємства Одержувача надає на погодження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r w:rsidR="00B70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Плани повинні бути складені з урахуванням помісячногоплану кошторисних 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5.2.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Заходів, але не пізніше 15-</w:t>
      </w:r>
      <w:r w:rsidRPr="004C7BDA">
        <w:rPr>
          <w:rFonts w:ascii="Times New Roman" w:hAnsi="Times New Roman" w:cs="Times New Roman"/>
          <w:sz w:val="24"/>
          <w:szCs w:val="24"/>
        </w:rPr>
        <w:t>го числа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наступного місяця, надає на погодження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7F587E" w:rsidRPr="004C7BDA">
        <w:rPr>
          <w:rFonts w:ascii="Times New Roman" w:hAnsi="Times New Roman" w:cs="Times New Roman"/>
          <w:sz w:val="24"/>
          <w:szCs w:val="24"/>
          <w:lang w:val="uk-UA"/>
        </w:rPr>
        <w:t>акти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не пізніше 15-го числа наступного місяця у вигляді звіту про фактичні витрати, за підписом керівника підприємства та головного бухгалтера.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коштів на рахунок  Одержувача,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затверджених цим рішенням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перспективних річних планів виконання Заходів, актів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 робіт,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5.5.  Складання та подання фінансової звітності про використаннябюджетних коштів 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 та</w:t>
      </w:r>
      <w:r w:rsidR="00FA42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FA42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використанням, здійснюється у встановленому законодавством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D0B9D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4F53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0D0B9D" w:rsidRPr="000D0B9D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до Порядку використання коштів на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</w:p>
    <w:p w:rsidR="000D0B9D" w:rsidRPr="000D0B9D" w:rsidRDefault="007F587E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у 20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0D77E9" w:rsidRPr="000D0B9D">
        <w:rPr>
          <w:rFonts w:ascii="Times New Roman" w:hAnsi="Times New Roman" w:cs="Times New Roman"/>
          <w:b/>
          <w:sz w:val="24"/>
          <w:szCs w:val="24"/>
        </w:rPr>
        <w:t>Заходів з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утримання бульварів та скверів,  </w:t>
      </w:r>
    </w:p>
    <w:p w:rsidR="000D0B9D" w:rsidRPr="000D0B9D" w:rsidRDefault="007F587E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інших озеленених територій міста Ромни</w:t>
      </w:r>
    </w:p>
    <w:p w:rsidR="007F587E" w:rsidRPr="000D0B9D" w:rsidRDefault="00DF1FF1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(пункт 4.1)</w:t>
      </w:r>
    </w:p>
    <w:p w:rsidR="007F587E" w:rsidRPr="00F47FA0" w:rsidRDefault="007F587E" w:rsidP="004C7BDA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F47FA0" w:rsidRDefault="000D77E9" w:rsidP="004C7BD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8F76AF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0D77E9" w:rsidRPr="00F47FA0">
        <w:rPr>
          <w:rFonts w:ascii="Times New Roman" w:hAnsi="Times New Roman" w:cs="Times New Roman"/>
          <w:b/>
          <w:sz w:val="24"/>
          <w:szCs w:val="24"/>
        </w:rPr>
        <w:t xml:space="preserve">утримання 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бульварів та скверів, інших озеленених територій містаРомни </w:t>
      </w:r>
      <w:r w:rsidR="00825EAC" w:rsidRPr="00F47FA0">
        <w:rPr>
          <w:rFonts w:ascii="Times New Roman" w:hAnsi="Times New Roman" w:cs="Times New Roman"/>
          <w:b/>
          <w:sz w:val="24"/>
          <w:szCs w:val="24"/>
        </w:rPr>
        <w:t>на 20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D77E9" w:rsidRPr="00F47FA0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0D0B9D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766278" w:rsidRPr="008F76AF" w:rsidTr="00984F53"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№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зп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6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Пріоритет розвитку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102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Назва заходу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Джерело фінансування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Обсяги фінансування</w:t>
            </w:r>
          </w:p>
          <w:p w:rsidR="00766278" w:rsidRPr="000D0B9D" w:rsidRDefault="00015EF9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(гривень</w:t>
            </w:r>
            <w:r w:rsidR="00766278"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836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результат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766278" w:rsidRPr="008F76AF" w:rsidTr="00984F53">
        <w:trPr>
          <w:trHeight w:val="281"/>
        </w:trPr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 w:val="restart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1.</w:t>
            </w:r>
          </w:p>
        </w:tc>
        <w:tc>
          <w:tcPr>
            <w:tcW w:w="2960" w:type="dxa"/>
            <w:vMerge w:val="restart"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Благоустрій території бульварів і скверів міста, утримання і відновлення зелених насаджень</w:t>
            </w: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169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Організація благоустрою по об’єктам разом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Підмітання території Збирання окремих предметів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Прибирання сміття з урн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Покіс трави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Підрізка дерев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Утримання клумб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Оббивка бордюрів (видалення бур’янів)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Очищення території від снігу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Сколювання льоду та інші види робіт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147" w:firstLine="11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B4765" w:rsidRPr="00984F53" w:rsidRDefault="00CB4765" w:rsidP="00047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937 087,51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 та санітарно-екологічного благополуччя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об’єкта «Сквер по 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Коржівській, 94»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3</w:t>
            </w:r>
            <w:r>
              <w:rPr>
                <w:lang w:val="uk-UA"/>
              </w:rPr>
              <w:t>8 902,87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агоустрій об’єкта «Сквер по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ривокзальний)»</w:t>
            </w:r>
          </w:p>
          <w:p w:rsidR="00CB4765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56 196,14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</w:tbl>
    <w:p w:rsidR="00984F53" w:rsidRPr="00984F53" w:rsidRDefault="00984F53" w:rsidP="004C7BDA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додатку до Порядку (пункт 4.1)</w:t>
      </w:r>
    </w:p>
    <w:p w:rsidR="00984F53" w:rsidRPr="00984F53" w:rsidRDefault="00984F53" w:rsidP="004C7BDA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984F53" w:rsidRPr="00984F53" w:rsidTr="00984F53">
        <w:trPr>
          <w:trHeight w:val="281"/>
        </w:trPr>
        <w:tc>
          <w:tcPr>
            <w:tcW w:w="550" w:type="dxa"/>
          </w:tcPr>
          <w:p w:rsidR="00984F53" w:rsidRPr="000D0B9D" w:rsidRDefault="00984F53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984F53" w:rsidRPr="000D0B9D" w:rsidRDefault="00984F5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984F53" w:rsidRPr="000D0B9D" w:rsidRDefault="00984F5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 w:val="restart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 w:val="restart"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</w:t>
            </w:r>
            <w:r>
              <w:rPr>
                <w:lang w:val="uk-UA"/>
              </w:rPr>
              <w:t>трій об’єкта «Бульвар Шевченка»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48"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199 648,76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Благоустрій об’єкта «Бульвар Свободи»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48"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199 888,10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Благоустрій об’єкта «Бульвар Московський»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199 749,05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оустрій об’єкта «Бульвар по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92 619,00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CB47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об’єкта «Бульвар по 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Гетьмана Мазепи»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13 706,01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об’єкта «Сквер по бульвару Шевченка, 15»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36 377,58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4C7B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 по пріоритету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</w:p>
          <w:p w:rsidR="00CB4765" w:rsidRPr="00984F53" w:rsidRDefault="00CB4765" w:rsidP="004C7BD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701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937 087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538E" w:rsidRPr="00984F53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538E" w:rsidRPr="00984F53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FF1" w:rsidRPr="00984F53" w:rsidRDefault="00DF1FF1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159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t>Ігор ТЕТІРКО</w:t>
      </w:r>
    </w:p>
    <w:p w:rsidR="00A11CFE" w:rsidRPr="008F76AF" w:rsidRDefault="00A11CF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11CFE" w:rsidRPr="008F76AF" w:rsidSect="000D0B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09" w:rsidRDefault="00987109" w:rsidP="00FC2383">
      <w:pPr>
        <w:spacing w:after="0" w:line="240" w:lineRule="auto"/>
      </w:pPr>
      <w:r>
        <w:separator/>
      </w:r>
    </w:p>
  </w:endnote>
  <w:endnote w:type="continuationSeparator" w:id="0">
    <w:p w:rsidR="00987109" w:rsidRDefault="00987109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09" w:rsidRDefault="00987109" w:rsidP="00FC2383">
      <w:pPr>
        <w:spacing w:after="0" w:line="240" w:lineRule="auto"/>
      </w:pPr>
      <w:r>
        <w:separator/>
      </w:r>
    </w:p>
  </w:footnote>
  <w:footnote w:type="continuationSeparator" w:id="0">
    <w:p w:rsidR="00987109" w:rsidRDefault="00987109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A17B2"/>
    <w:rsid w:val="00236D77"/>
    <w:rsid w:val="00253264"/>
    <w:rsid w:val="002859A4"/>
    <w:rsid w:val="002A7909"/>
    <w:rsid w:val="002D5E5E"/>
    <w:rsid w:val="002E2B99"/>
    <w:rsid w:val="002E6AB4"/>
    <w:rsid w:val="0030402F"/>
    <w:rsid w:val="003C2736"/>
    <w:rsid w:val="003C7527"/>
    <w:rsid w:val="003D1B11"/>
    <w:rsid w:val="00442932"/>
    <w:rsid w:val="004704DA"/>
    <w:rsid w:val="004938BC"/>
    <w:rsid w:val="004A0A7F"/>
    <w:rsid w:val="004C7BDA"/>
    <w:rsid w:val="004D099A"/>
    <w:rsid w:val="004F19FE"/>
    <w:rsid w:val="004F4071"/>
    <w:rsid w:val="00542AE2"/>
    <w:rsid w:val="00576A38"/>
    <w:rsid w:val="005E5C7A"/>
    <w:rsid w:val="00650451"/>
    <w:rsid w:val="00663343"/>
    <w:rsid w:val="006759CA"/>
    <w:rsid w:val="00697FBC"/>
    <w:rsid w:val="006B662B"/>
    <w:rsid w:val="006E362C"/>
    <w:rsid w:val="00703A31"/>
    <w:rsid w:val="007101E9"/>
    <w:rsid w:val="00766278"/>
    <w:rsid w:val="00797964"/>
    <w:rsid w:val="007A3B12"/>
    <w:rsid w:val="007B0DDA"/>
    <w:rsid w:val="007B5ECC"/>
    <w:rsid w:val="007F587E"/>
    <w:rsid w:val="00803E1B"/>
    <w:rsid w:val="008073CE"/>
    <w:rsid w:val="00825EAC"/>
    <w:rsid w:val="008830A5"/>
    <w:rsid w:val="008F76AF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B387B"/>
    <w:rsid w:val="009D1044"/>
    <w:rsid w:val="009E1B4A"/>
    <w:rsid w:val="00A11CFE"/>
    <w:rsid w:val="00A750A7"/>
    <w:rsid w:val="00AF1BEA"/>
    <w:rsid w:val="00B1594D"/>
    <w:rsid w:val="00B4538E"/>
    <w:rsid w:val="00B65F5B"/>
    <w:rsid w:val="00B70E96"/>
    <w:rsid w:val="00BA7FA3"/>
    <w:rsid w:val="00C02919"/>
    <w:rsid w:val="00C05343"/>
    <w:rsid w:val="00C63F0F"/>
    <w:rsid w:val="00CB4765"/>
    <w:rsid w:val="00CE52E3"/>
    <w:rsid w:val="00D21F72"/>
    <w:rsid w:val="00D25EDC"/>
    <w:rsid w:val="00D72BFC"/>
    <w:rsid w:val="00DB6776"/>
    <w:rsid w:val="00DD7638"/>
    <w:rsid w:val="00DE134E"/>
    <w:rsid w:val="00DE613B"/>
    <w:rsid w:val="00DF1FF1"/>
    <w:rsid w:val="00E10761"/>
    <w:rsid w:val="00E13A81"/>
    <w:rsid w:val="00E4056B"/>
    <w:rsid w:val="00E517DB"/>
    <w:rsid w:val="00E667CC"/>
    <w:rsid w:val="00F07F0F"/>
    <w:rsid w:val="00F131DE"/>
    <w:rsid w:val="00F26023"/>
    <w:rsid w:val="00F36E16"/>
    <w:rsid w:val="00F47FA0"/>
    <w:rsid w:val="00F7237E"/>
    <w:rsid w:val="00F72A28"/>
    <w:rsid w:val="00F75030"/>
    <w:rsid w:val="00F90D16"/>
    <w:rsid w:val="00FA42F6"/>
    <w:rsid w:val="00FB4504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D9BB"/>
  <w15:docId w15:val="{C1179F3A-1CFB-4FD1-83B5-9221098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FB9D-9DB6-451D-ABF9-FA80557C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10</cp:revision>
  <cp:lastPrinted>2020-03-11T11:51:00Z</cp:lastPrinted>
  <dcterms:created xsi:type="dcterms:W3CDTF">2020-03-11T10:09:00Z</dcterms:created>
  <dcterms:modified xsi:type="dcterms:W3CDTF">2020-03-11T11:53:00Z</dcterms:modified>
</cp:coreProperties>
</file>