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C0409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C04093">
      <w:pPr>
        <w:spacing w:line="276" w:lineRule="auto"/>
        <w:rPr>
          <w:sz w:val="16"/>
          <w:szCs w:val="16"/>
          <w:lang w:eastAsia="uk-UA"/>
        </w:rPr>
      </w:pPr>
    </w:p>
    <w:p w:rsidR="00C04093" w:rsidRPr="004234BC" w:rsidRDefault="00C04093" w:rsidP="00C0409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C04093" w:rsidRPr="004234BC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C04093" w:rsidRPr="004234BC" w:rsidTr="008E0526">
        <w:tc>
          <w:tcPr>
            <w:tcW w:w="3510" w:type="dxa"/>
          </w:tcPr>
          <w:p w:rsidR="00C04093" w:rsidRPr="00EB0638" w:rsidRDefault="008C56FF" w:rsidP="00DF7AAD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</w:t>
            </w:r>
            <w:r w:rsidR="00DF7AAD">
              <w:rPr>
                <w:b/>
                <w:bCs/>
                <w:lang w:val="ru-RU" w:eastAsia="uk-UA"/>
              </w:rPr>
              <w:t>8</w:t>
            </w:r>
            <w:r>
              <w:rPr>
                <w:b/>
                <w:bCs/>
                <w:lang w:val="ru-RU" w:eastAsia="uk-UA"/>
              </w:rPr>
              <w:t>.02.2017</w:t>
            </w:r>
          </w:p>
        </w:tc>
        <w:tc>
          <w:tcPr>
            <w:tcW w:w="2552" w:type="dxa"/>
          </w:tcPr>
          <w:p w:rsidR="00C04093" w:rsidRPr="004234BC" w:rsidRDefault="00C04093" w:rsidP="008E0526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C04093" w:rsidRPr="004234BC" w:rsidRDefault="00C04093" w:rsidP="00DF7AAD">
            <w:pPr>
              <w:spacing w:line="276" w:lineRule="auto"/>
              <w:ind w:right="-390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DF7AAD">
              <w:rPr>
                <w:b/>
                <w:bCs/>
                <w:lang w:eastAsia="uk-UA"/>
              </w:rPr>
              <w:t xml:space="preserve"> 28-ОД</w:t>
            </w:r>
            <w:r w:rsidRPr="008E0526">
              <w:rPr>
                <w:b/>
                <w:bCs/>
                <w:color w:val="FFFFFF" w:themeColor="background1"/>
                <w:lang w:eastAsia="uk-UA"/>
              </w:rPr>
              <w:t xml:space="preserve"> </w:t>
            </w:r>
            <w:r w:rsidR="008E0526" w:rsidRPr="008E0526">
              <w:rPr>
                <w:b/>
                <w:bCs/>
                <w:color w:val="FFFFFF" w:themeColor="background1"/>
                <w:lang w:eastAsia="uk-UA"/>
              </w:rPr>
              <w:t>___</w:t>
            </w:r>
          </w:p>
        </w:tc>
      </w:tr>
    </w:tbl>
    <w:p w:rsidR="00C04093" w:rsidRPr="00EC2C25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C0409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bookmarkStart w:id="0" w:name="_GoBack"/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>
              <w:rPr>
                <w:b/>
                <w:bCs/>
              </w:rPr>
              <w:t xml:space="preserve">а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bookmarkEnd w:id="0"/>
          </w:p>
        </w:tc>
        <w:tc>
          <w:tcPr>
            <w:tcW w:w="3544" w:type="dxa"/>
          </w:tcPr>
          <w:p w:rsidR="00C04093" w:rsidRPr="00DD073B" w:rsidRDefault="00C04093" w:rsidP="008E052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C04093">
      <w:pPr>
        <w:spacing w:line="276" w:lineRule="auto"/>
        <w:rPr>
          <w:sz w:val="16"/>
          <w:szCs w:val="16"/>
        </w:rPr>
      </w:pPr>
    </w:p>
    <w:p w:rsidR="00C04093" w:rsidRPr="002D6D7E" w:rsidRDefault="00C04093" w:rsidP="00C04093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>від 22.02.2017</w:t>
      </w:r>
      <w:r w:rsidR="00B35046">
        <w:t xml:space="preserve">), </w:t>
      </w:r>
      <w:r w:rsidR="00B35046">
        <w:t>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по загальному фонду 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C04093">
      <w:pPr>
        <w:spacing w:line="276" w:lineRule="auto"/>
        <w:rPr>
          <w:color w:val="000000"/>
          <w:sz w:val="16"/>
          <w:szCs w:val="16"/>
        </w:rPr>
      </w:pPr>
    </w:p>
    <w:p w:rsidR="00C04093" w:rsidRPr="00B4515A" w:rsidRDefault="009D4260" w:rsidP="008C56FF">
      <w:pPr>
        <w:spacing w:line="276" w:lineRule="auto"/>
        <w:ind w:firstLine="360"/>
        <w:jc w:val="both"/>
      </w:pPr>
      <w:r>
        <w:rPr>
          <w:color w:val="000000"/>
        </w:rPr>
        <w:t xml:space="preserve">1. </w:t>
      </w:r>
      <w:r w:rsidR="00C04093" w:rsidRPr="00A57421">
        <w:rPr>
          <w:color w:val="000000"/>
        </w:rPr>
        <w:t>Затвердити</w:t>
      </w:r>
      <w:r>
        <w:rPr>
          <w:color w:val="000000"/>
        </w:rPr>
        <w:t xml:space="preserve"> в новій редакції</w:t>
      </w:r>
      <w:r w:rsidR="00C04093" w:rsidRPr="00A57421">
        <w:rPr>
          <w:color w:val="000000"/>
        </w:rPr>
        <w:t xml:space="preserve"> паспорт бюджетн</w:t>
      </w:r>
      <w:r>
        <w:rPr>
          <w:color w:val="000000"/>
        </w:rPr>
        <w:t>ої</w:t>
      </w:r>
      <w:r w:rsidR="00C04093"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="00C04093" w:rsidRPr="00A57421">
        <w:rPr>
          <w:color w:val="000000"/>
        </w:rPr>
        <w:t xml:space="preserve"> </w:t>
      </w:r>
      <w:r w:rsidR="00C04093">
        <w:rPr>
          <w:color w:val="000000"/>
        </w:rPr>
        <w:t>В</w:t>
      </w:r>
      <w:r w:rsidR="00C04093" w:rsidRPr="00A57421">
        <w:rPr>
          <w:color w:val="000000"/>
        </w:rPr>
        <w:t>иконавчого комітету Роменської міської ради на 201</w:t>
      </w:r>
      <w:r w:rsidR="00C04093">
        <w:rPr>
          <w:color w:val="000000"/>
        </w:rPr>
        <w:t>7</w:t>
      </w:r>
      <w:r w:rsidR="00C04093" w:rsidRPr="00A57421">
        <w:rPr>
          <w:color w:val="000000"/>
        </w:rPr>
        <w:t xml:space="preserve"> рік</w:t>
      </w:r>
      <w:r w:rsidR="00C04093">
        <w:rPr>
          <w:color w:val="000000"/>
        </w:rPr>
        <w:t xml:space="preserve"> </w:t>
      </w:r>
      <w:r w:rsidR="00C04093" w:rsidRPr="002D6D7E">
        <w:rPr>
          <w:color w:val="000000"/>
        </w:rPr>
        <w:t>за КПКВК</w:t>
      </w:r>
      <w:r w:rsidR="008C56FF">
        <w:rPr>
          <w:color w:val="000000"/>
        </w:rPr>
        <w:t xml:space="preserve"> </w:t>
      </w:r>
      <w:r w:rsidR="00C04093">
        <w:t>0312010 «Багатопрофільна стаціонарна медична допомога населенню»</w:t>
      </w:r>
      <w:r w:rsidR="008C56FF">
        <w:t xml:space="preserve"> (додаток)</w:t>
      </w:r>
    </w:p>
    <w:p w:rsidR="00C04093" w:rsidRPr="00750F89" w:rsidRDefault="00C04093" w:rsidP="00C0409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BE34E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8C56FF">
        <w:rPr>
          <w:color w:val="000000"/>
        </w:rPr>
        <w:t>а</w:t>
      </w:r>
      <w:r w:rsidR="00C04093" w:rsidRPr="002D6D7E">
        <w:rPr>
          <w:color w:val="000000"/>
        </w:rPr>
        <w:t xml:space="preserve"> бюджетн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програм</w:t>
      </w:r>
      <w:r w:rsidR="008C56FF">
        <w:rPr>
          <w:color w:val="000000"/>
        </w:rPr>
        <w:t>и</w:t>
      </w:r>
      <w:r w:rsidR="00C04093" w:rsidRPr="002D6D7E">
        <w:rPr>
          <w:color w:val="000000"/>
        </w:rPr>
        <w:t>, зазначен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C0409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  <w:sectPr w:rsidR="008C56FF" w:rsidSect="008C56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56FF" w:rsidRPr="00961659" w:rsidRDefault="008C56FF" w:rsidP="008C56FF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8C56FF" w:rsidRPr="00961659" w:rsidRDefault="008C56FF" w:rsidP="008C56FF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8C56FF" w:rsidRPr="00961659" w:rsidRDefault="006D22CA" w:rsidP="008C56FF">
      <w:pPr>
        <w:ind w:left="10632"/>
        <w:jc w:val="both"/>
        <w:rPr>
          <w:b/>
        </w:rPr>
      </w:pPr>
      <w:r>
        <w:rPr>
          <w:b/>
        </w:rPr>
        <w:t>2</w:t>
      </w:r>
      <w:r w:rsidR="00031B59">
        <w:rPr>
          <w:b/>
        </w:rPr>
        <w:t>8</w:t>
      </w:r>
      <w:r w:rsidR="008C56FF">
        <w:rPr>
          <w:b/>
        </w:rPr>
        <w:t>.02</w:t>
      </w:r>
      <w:r w:rsidR="008C56FF" w:rsidRPr="00961659">
        <w:rPr>
          <w:b/>
        </w:rPr>
        <w:t xml:space="preserve">.2017 № </w:t>
      </w:r>
      <w:r w:rsidR="00031B59">
        <w:rPr>
          <w:b/>
        </w:rPr>
        <w:t>28-ОД</w:t>
      </w:r>
    </w:p>
    <w:p w:rsidR="008C56FF" w:rsidRPr="00961659" w:rsidRDefault="008C56FF" w:rsidP="008C56FF">
      <w:pPr>
        <w:ind w:left="8505"/>
        <w:rPr>
          <w:caps/>
          <w:sz w:val="16"/>
          <w:szCs w:val="16"/>
        </w:rPr>
      </w:pPr>
    </w:p>
    <w:p w:rsidR="008C56FF" w:rsidRPr="005008FC" w:rsidRDefault="008C56FF" w:rsidP="008C56FF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8C56FF" w:rsidRPr="005008FC" w:rsidRDefault="008C56FF" w:rsidP="008C56FF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C56FF" w:rsidRPr="005008FC" w:rsidRDefault="008C56FF" w:rsidP="008C56FF">
      <w:pPr>
        <w:ind w:left="8222"/>
      </w:pPr>
      <w:r w:rsidRPr="005008FC">
        <w:t>26.08.2014  № 836</w:t>
      </w:r>
    </w:p>
    <w:p w:rsidR="008C56FF" w:rsidRPr="00961659" w:rsidRDefault="008C56FF" w:rsidP="008C56FF">
      <w:pPr>
        <w:tabs>
          <w:tab w:val="left" w:pos="8364"/>
        </w:tabs>
        <w:ind w:left="8222"/>
        <w:rPr>
          <w:sz w:val="16"/>
          <w:szCs w:val="16"/>
        </w:rPr>
      </w:pPr>
    </w:p>
    <w:p w:rsidR="008C56FF" w:rsidRDefault="008C56FF" w:rsidP="008C56FF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8C56FF" w:rsidRPr="005008FC" w:rsidRDefault="00031B59" w:rsidP="008C56FF">
      <w:pPr>
        <w:tabs>
          <w:tab w:val="left" w:pos="8364"/>
        </w:tabs>
        <w:ind w:left="8222"/>
      </w:pPr>
      <w:r>
        <w:t>_______________</w:t>
      </w:r>
      <w:r w:rsidR="008C56FF" w:rsidRPr="005008FC">
        <w:t xml:space="preserve"> №</w:t>
      </w:r>
      <w:r w:rsidR="008C56FF">
        <w:t xml:space="preserve"> </w:t>
      </w:r>
      <w:r>
        <w:t>_______</w:t>
      </w:r>
    </w:p>
    <w:p w:rsidR="00031B59" w:rsidRPr="005008FC" w:rsidRDefault="008C56FF" w:rsidP="00031B5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31B59">
        <w:t>_______________</w:t>
      </w:r>
      <w:r w:rsidR="00031B59" w:rsidRPr="005008FC">
        <w:t xml:space="preserve"> №</w:t>
      </w:r>
      <w:r w:rsidR="00031B59">
        <w:t xml:space="preserve"> _______</w:t>
      </w:r>
    </w:p>
    <w:p w:rsidR="008C56FF" w:rsidRPr="005008FC" w:rsidRDefault="008C56FF" w:rsidP="008C56FF">
      <w:pPr>
        <w:tabs>
          <w:tab w:val="left" w:pos="8364"/>
        </w:tabs>
        <w:ind w:left="8222"/>
      </w:pPr>
    </w:p>
    <w:p w:rsidR="00FB07F0" w:rsidRDefault="00FB07F0" w:rsidP="00FB07F0">
      <w:pPr>
        <w:ind w:right="24"/>
        <w:jc w:val="both"/>
        <w:rPr>
          <w:b/>
          <w:bCs/>
          <w:color w:val="000000"/>
        </w:rPr>
      </w:pP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FB07F0">
      <w:pPr>
        <w:spacing w:line="276" w:lineRule="auto"/>
        <w:jc w:val="center"/>
      </w:pPr>
    </w:p>
    <w:p w:rsidR="00FB07F0" w:rsidRPr="002A0B74" w:rsidRDefault="00FB07F0" w:rsidP="00FB07F0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FB07F0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FB07F0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FB07F0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Pr="002A0B74" w:rsidRDefault="00FB07F0" w:rsidP="00FB07F0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89641A">
        <w:t>59168,8</w:t>
      </w:r>
      <w:r w:rsidRPr="002A0B74">
        <w:t xml:space="preserve"> 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89641A">
        <w:t>56792,4</w:t>
      </w:r>
      <w:r w:rsidRPr="002A0B74">
        <w:t xml:space="preserve"> тис. гривень та спеціального фонду – </w:t>
      </w:r>
      <w:r w:rsidR="0089641A">
        <w:t>2376,4</w:t>
      </w:r>
      <w:r w:rsidRPr="002A0B74">
        <w:t xml:space="preserve"> тис. гривень. </w:t>
      </w:r>
    </w:p>
    <w:p w:rsidR="00FB07F0" w:rsidRPr="002A0B74" w:rsidRDefault="00FB07F0" w:rsidP="00FB07F0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р. 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«Про міський бюджет міста Ромни на 2017рік» від 22.12.2016.;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р.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FB07F0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FB07F0">
      <w:pPr>
        <w:spacing w:after="120" w:line="276" w:lineRule="auto"/>
        <w:ind w:firstLine="363"/>
        <w:jc w:val="both"/>
      </w:pPr>
    </w:p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t xml:space="preserve">Продовження додатка </w:t>
      </w:r>
    </w:p>
    <w:p w:rsidR="00FB07F0" w:rsidRDefault="00FB07F0" w:rsidP="00A550B1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A550B1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A550B1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A550B1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FB07F0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143C1" w:rsidP="00A550B1">
            <w:pPr>
              <w:spacing w:line="276" w:lineRule="auto"/>
              <w:jc w:val="both"/>
            </w:pPr>
            <w:r>
              <w:t>50032,875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46688" w:rsidP="00A550B1">
            <w:pPr>
              <w:spacing w:line="276" w:lineRule="auto"/>
              <w:jc w:val="both"/>
            </w:pPr>
            <w:r>
              <w:t>51457,711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6759,517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6881,057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44B8A" w:rsidP="00A550B1">
            <w:pPr>
              <w:spacing w:line="276" w:lineRule="auto"/>
              <w:jc w:val="both"/>
            </w:pPr>
            <w:r>
              <w:t>83</w:t>
            </w:r>
            <w:r w:rsidR="00FB07F0">
              <w:t>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46688" w:rsidP="00A550B1">
            <w:pPr>
              <w:spacing w:line="276" w:lineRule="auto"/>
              <w:jc w:val="both"/>
            </w:pPr>
            <w:r>
              <w:t>83</w:t>
            </w:r>
            <w:r w:rsidR="00FB07F0">
              <w:t>0,000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143C1" w:rsidP="00A550B1">
            <w:pPr>
              <w:spacing w:line="276" w:lineRule="auto"/>
              <w:jc w:val="both"/>
            </w:pPr>
            <w:r>
              <w:t>56792,392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44B8A" w:rsidP="00A550B1">
            <w:pPr>
              <w:spacing w:line="276" w:lineRule="auto"/>
              <w:jc w:val="both"/>
            </w:pPr>
            <w:r>
              <w:t>2376,376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46688" w:rsidP="00A550B1">
            <w:pPr>
              <w:spacing w:line="276" w:lineRule="auto"/>
              <w:jc w:val="both"/>
            </w:pPr>
            <w:r>
              <w:t>59168,768</w:t>
            </w:r>
          </w:p>
        </w:tc>
      </w:tr>
    </w:tbl>
    <w:p w:rsidR="00FB07F0" w:rsidRPr="00A550B1" w:rsidRDefault="00FB07F0" w:rsidP="00FB07F0">
      <w:pPr>
        <w:spacing w:line="276" w:lineRule="auto"/>
        <w:rPr>
          <w:sz w:val="16"/>
          <w:szCs w:val="16"/>
        </w:rPr>
      </w:pPr>
    </w:p>
    <w:p w:rsidR="00A550B1" w:rsidRDefault="00FB07F0" w:rsidP="00A550B1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A550B1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1540"/>
        <w:gridCol w:w="980"/>
        <w:gridCol w:w="1120"/>
        <w:gridCol w:w="1120"/>
      </w:tblGrid>
      <w:tr w:rsidR="00FB07F0" w:rsidRPr="002A0B74" w:rsidTr="008E0526">
        <w:trPr>
          <w:trHeight w:val="439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286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FB07F0" w:rsidP="00FB07F0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750,0</w:t>
            </w:r>
          </w:p>
        </w:tc>
        <w:tc>
          <w:tcPr>
            <w:tcW w:w="112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1200,0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A550B1" w:rsidP="00FB07F0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750,0</w:t>
            </w:r>
          </w:p>
        </w:tc>
        <w:tc>
          <w:tcPr>
            <w:tcW w:w="112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1200,0</w:t>
            </w:r>
          </w:p>
        </w:tc>
      </w:tr>
    </w:tbl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Pr="002A0B74" w:rsidRDefault="00FB07F0" w:rsidP="00FB07F0">
      <w:pPr>
        <w:spacing w:line="276" w:lineRule="auto"/>
        <w:ind w:firstLine="357"/>
      </w:pPr>
    </w:p>
    <w:p w:rsidR="00FB07F0" w:rsidRDefault="00FB07F0" w:rsidP="00FB07F0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FB07F0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30,116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1.3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9,4</w:t>
            </w:r>
          </w:p>
        </w:tc>
      </w:tr>
    </w:tbl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6881,057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4159,151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1577,139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389,904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65,762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597,403</w:t>
            </w:r>
          </w:p>
        </w:tc>
      </w:tr>
    </w:tbl>
    <w:p w:rsidR="00A550B1" w:rsidRDefault="00A550B1"/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 w:rsidP="00A550B1">
      <w:pPr>
        <w:jc w:val="right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35,335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5022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10,49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</w:pPr>
            <w:r>
              <w:t>627,0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A95853" w:rsidP="00A550B1">
            <w:pPr>
              <w:spacing w:line="276" w:lineRule="auto"/>
              <w:jc w:val="both"/>
            </w:pPr>
            <w:r>
              <w:t>2,0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A95853" w:rsidP="00A550B1">
            <w:pPr>
              <w:spacing w:line="276" w:lineRule="auto"/>
              <w:jc w:val="both"/>
            </w:pPr>
            <w:r>
              <w:t>1,0</w:t>
            </w:r>
          </w:p>
        </w:tc>
      </w:tr>
    </w:tbl>
    <w:p w:rsidR="00350228" w:rsidRDefault="00350228"/>
    <w:p w:rsidR="00350228" w:rsidRPr="00A550B1" w:rsidRDefault="00350228" w:rsidP="00350228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350228" w:rsidRPr="00350228" w:rsidRDefault="00350228">
      <w:pPr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350228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  <w:jc w:val="both"/>
            </w:pPr>
            <w:r>
              <w:t>80,0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350228"/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A550B1" w:rsidP="00A550B1">
            <w:pPr>
              <w:spacing w:line="276" w:lineRule="auto"/>
              <w:jc w:val="both"/>
            </w:pPr>
          </w:p>
        </w:tc>
      </w:tr>
      <w:tr w:rsidR="008D771D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8D771D" w:rsidRPr="002A0B74" w:rsidRDefault="008D771D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8D771D" w:rsidRPr="002A0B74" w:rsidRDefault="008D771D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8D771D" w:rsidRPr="00560E4F" w:rsidRDefault="008D771D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8D771D" w:rsidRPr="00560E4F" w:rsidRDefault="008D771D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8D771D" w:rsidRPr="00560E4F" w:rsidRDefault="008D771D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8D771D" w:rsidRPr="00560E4F" w:rsidRDefault="008D771D" w:rsidP="00A550B1">
            <w:pPr>
              <w:spacing w:line="276" w:lineRule="auto"/>
              <w:jc w:val="both"/>
            </w:pPr>
            <w:r>
              <w:t>1472,3</w:t>
            </w:r>
          </w:p>
        </w:tc>
      </w:tr>
      <w:tr w:rsidR="00A550B1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A550B1" w:rsidP="00A550B1">
            <w:pPr>
              <w:spacing w:line="276" w:lineRule="auto"/>
              <w:jc w:val="both"/>
            </w:pPr>
            <w:r w:rsidRPr="00560E4F">
              <w:t>390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A550B1" w:rsidP="00A550B1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4E3B34" w:rsidP="00A550B1">
            <w:pPr>
              <w:spacing w:line="276" w:lineRule="auto"/>
              <w:jc w:val="both"/>
            </w:pPr>
            <w:r>
              <w:t>2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A550B1" w:rsidP="00A550B1">
            <w:pPr>
              <w:spacing w:line="276" w:lineRule="auto"/>
              <w:jc w:val="both"/>
            </w:pPr>
          </w:p>
        </w:tc>
      </w:tr>
      <w:tr w:rsidR="004E3B34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4E3B34" w:rsidRPr="002A0B74" w:rsidRDefault="004E3B34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4E3B34" w:rsidRPr="002A0B74" w:rsidRDefault="004E3B34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4E3B34" w:rsidRPr="00560E4F" w:rsidRDefault="004E3B34" w:rsidP="004E3B34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4E3B34" w:rsidRPr="00560E4F" w:rsidRDefault="004E3B34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4E3B34" w:rsidRPr="00560E4F" w:rsidRDefault="004E3B34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4E3B34" w:rsidRPr="00560E4F" w:rsidRDefault="005414C6" w:rsidP="00A550B1">
            <w:pPr>
              <w:spacing w:line="276" w:lineRule="auto"/>
              <w:jc w:val="both"/>
            </w:pPr>
            <w:r>
              <w:t>0,426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A550B1" w:rsidP="005414C6">
            <w:pPr>
              <w:spacing w:line="276" w:lineRule="auto"/>
              <w:jc w:val="both"/>
            </w:pPr>
            <w:r w:rsidRPr="00560E4F">
              <w:t>0,</w:t>
            </w:r>
            <w:r w:rsidR="005414C6">
              <w:t>005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5414C6" w:rsidP="00A550B1">
            <w:pPr>
              <w:spacing w:line="276" w:lineRule="auto"/>
              <w:jc w:val="both"/>
            </w:pPr>
            <w:r>
              <w:t>0,005</w:t>
            </w:r>
          </w:p>
        </w:tc>
      </w:tr>
      <w:tr w:rsidR="00A550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560E4F" w:rsidRDefault="005414C6" w:rsidP="00A550B1">
            <w:pPr>
              <w:spacing w:line="276" w:lineRule="auto"/>
              <w:jc w:val="both"/>
            </w:pPr>
            <w:r>
              <w:t>10</w:t>
            </w:r>
            <w:r w:rsidR="00A550B1" w:rsidRPr="00560E4F">
              <w:t>0,0</w:t>
            </w:r>
          </w:p>
        </w:tc>
      </w:tr>
      <w:tr w:rsidR="00A550B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717A82" w:rsidRDefault="00A550B1" w:rsidP="00A550B1">
            <w:pPr>
              <w:spacing w:line="276" w:lineRule="auto"/>
              <w:jc w:val="both"/>
            </w:pPr>
          </w:p>
        </w:tc>
      </w:tr>
      <w:tr w:rsidR="00A550B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717A82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717A82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717A82" w:rsidRDefault="00A550B1" w:rsidP="00A550B1">
            <w:pPr>
              <w:spacing w:line="276" w:lineRule="auto"/>
              <w:jc w:val="both"/>
            </w:pPr>
            <w:r>
              <w:t>33,3</w:t>
            </w:r>
          </w:p>
        </w:tc>
      </w:tr>
      <w:tr w:rsidR="00A550B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550B1" w:rsidRPr="00717A82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550B1" w:rsidRPr="00717A82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A550B1" w:rsidRPr="00717A82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550B1" w:rsidRPr="00717A82" w:rsidRDefault="005414C6" w:rsidP="00A550B1">
            <w:pPr>
              <w:spacing w:line="276" w:lineRule="auto"/>
              <w:jc w:val="both"/>
            </w:pPr>
            <w:r>
              <w:t>8,2</w:t>
            </w:r>
          </w:p>
        </w:tc>
      </w:tr>
    </w:tbl>
    <w:p w:rsidR="00FB07F0" w:rsidRPr="002A0B74" w:rsidRDefault="00FB07F0" w:rsidP="00FB07F0">
      <w:pPr>
        <w:spacing w:line="276" w:lineRule="auto"/>
        <w:ind w:firstLine="426"/>
      </w:pPr>
    </w:p>
    <w:p w:rsidR="00FB07F0" w:rsidRPr="00FB07F0" w:rsidRDefault="00FB07F0" w:rsidP="00FB07F0">
      <w:pPr>
        <w:spacing w:line="276" w:lineRule="auto"/>
        <w:ind w:firstLine="426"/>
        <w:jc w:val="right"/>
        <w:rPr>
          <w:b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Pr="002A0B74" w:rsidRDefault="00FB07F0" w:rsidP="00FB07F0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FB07F0" w:rsidRPr="002A0B74" w:rsidRDefault="00FB07F0" w:rsidP="00FB07F0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137"/>
        <w:gridCol w:w="1130"/>
        <w:gridCol w:w="1065"/>
        <w:gridCol w:w="1258"/>
        <w:gridCol w:w="721"/>
        <w:gridCol w:w="1062"/>
        <w:gridCol w:w="1258"/>
        <w:gridCol w:w="718"/>
        <w:gridCol w:w="1065"/>
        <w:gridCol w:w="1185"/>
        <w:gridCol w:w="721"/>
        <w:gridCol w:w="1445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7D20FC">
      <w:pPr>
        <w:spacing w:line="276" w:lineRule="auto"/>
        <w:jc w:val="both"/>
        <w:rPr>
          <w:vertAlign w:val="superscript"/>
        </w:rPr>
      </w:pPr>
    </w:p>
    <w:p w:rsidR="00FB07F0" w:rsidRPr="002A0B74" w:rsidRDefault="00FB07F0" w:rsidP="007D20FC">
      <w:pPr>
        <w:spacing w:line="276" w:lineRule="auto"/>
        <w:jc w:val="both"/>
      </w:pPr>
      <w:r w:rsidRPr="002A0B74">
        <w:rPr>
          <w:vertAlign w:val="superscript"/>
        </w:rPr>
        <w:t>1</w:t>
      </w:r>
      <w:r w:rsidRPr="002A0B7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B07F0" w:rsidRPr="002A0B74" w:rsidRDefault="00FB07F0" w:rsidP="007D20FC">
      <w:pPr>
        <w:spacing w:line="276" w:lineRule="auto"/>
        <w:jc w:val="both"/>
      </w:pPr>
      <w:r w:rsidRPr="002A0B74">
        <w:rPr>
          <w:vertAlign w:val="superscript"/>
        </w:rPr>
        <w:t>2</w:t>
      </w:r>
      <w:r w:rsidRPr="002A0B7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7D20FC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B07F0" w:rsidRDefault="00FB07F0" w:rsidP="00FB07F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B07F0" w:rsidRDefault="00FB07F0" w:rsidP="00FB07F0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  <w:r w:rsidRPr="006A6AB8">
        <w:br/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sectPr w:rsidR="00FB07F0" w:rsidSect="008C56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2"/>
    <w:rsid w:val="0001461E"/>
    <w:rsid w:val="00014D43"/>
    <w:rsid w:val="00031B59"/>
    <w:rsid w:val="000320C7"/>
    <w:rsid w:val="000368A6"/>
    <w:rsid w:val="00062C2C"/>
    <w:rsid w:val="000A3BAC"/>
    <w:rsid w:val="000D0A50"/>
    <w:rsid w:val="000D0F59"/>
    <w:rsid w:val="000E1739"/>
    <w:rsid w:val="000F46DC"/>
    <w:rsid w:val="001004CA"/>
    <w:rsid w:val="00103C4A"/>
    <w:rsid w:val="00104E60"/>
    <w:rsid w:val="00116FED"/>
    <w:rsid w:val="00141B57"/>
    <w:rsid w:val="00153F5E"/>
    <w:rsid w:val="00187236"/>
    <w:rsid w:val="00195827"/>
    <w:rsid w:val="0020028B"/>
    <w:rsid w:val="00207E54"/>
    <w:rsid w:val="00274352"/>
    <w:rsid w:val="002A0A5E"/>
    <w:rsid w:val="002D6D7E"/>
    <w:rsid w:val="002E3617"/>
    <w:rsid w:val="002F5757"/>
    <w:rsid w:val="00304FB8"/>
    <w:rsid w:val="00315C26"/>
    <w:rsid w:val="00322011"/>
    <w:rsid w:val="00330CCC"/>
    <w:rsid w:val="00350228"/>
    <w:rsid w:val="003629DD"/>
    <w:rsid w:val="003749DD"/>
    <w:rsid w:val="003A109F"/>
    <w:rsid w:val="003C691D"/>
    <w:rsid w:val="003E0560"/>
    <w:rsid w:val="003E2419"/>
    <w:rsid w:val="003E3F4B"/>
    <w:rsid w:val="003F173A"/>
    <w:rsid w:val="003F6B70"/>
    <w:rsid w:val="004234BC"/>
    <w:rsid w:val="0044100C"/>
    <w:rsid w:val="004423B6"/>
    <w:rsid w:val="00444B8A"/>
    <w:rsid w:val="00452B54"/>
    <w:rsid w:val="004665B6"/>
    <w:rsid w:val="00482B72"/>
    <w:rsid w:val="004B760D"/>
    <w:rsid w:val="004E3B34"/>
    <w:rsid w:val="005003FC"/>
    <w:rsid w:val="005414C6"/>
    <w:rsid w:val="00595FFB"/>
    <w:rsid w:val="005C27C3"/>
    <w:rsid w:val="005C2E57"/>
    <w:rsid w:val="005D2B84"/>
    <w:rsid w:val="005E1279"/>
    <w:rsid w:val="005F14D5"/>
    <w:rsid w:val="006143C1"/>
    <w:rsid w:val="00646920"/>
    <w:rsid w:val="006A6AB8"/>
    <w:rsid w:val="006B419F"/>
    <w:rsid w:val="006D22CA"/>
    <w:rsid w:val="006F7301"/>
    <w:rsid w:val="007053FE"/>
    <w:rsid w:val="00722D6B"/>
    <w:rsid w:val="0072655D"/>
    <w:rsid w:val="00744FD5"/>
    <w:rsid w:val="00750F89"/>
    <w:rsid w:val="007A5EF3"/>
    <w:rsid w:val="007B1BBF"/>
    <w:rsid w:val="007D20FC"/>
    <w:rsid w:val="007D3093"/>
    <w:rsid w:val="007E67F4"/>
    <w:rsid w:val="008027C1"/>
    <w:rsid w:val="00807C2A"/>
    <w:rsid w:val="0082698D"/>
    <w:rsid w:val="00830D3A"/>
    <w:rsid w:val="00846688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6CD3"/>
    <w:rsid w:val="009564A3"/>
    <w:rsid w:val="00961659"/>
    <w:rsid w:val="009847DA"/>
    <w:rsid w:val="009B73F4"/>
    <w:rsid w:val="009D018A"/>
    <w:rsid w:val="009D4260"/>
    <w:rsid w:val="00A550B1"/>
    <w:rsid w:val="00A57421"/>
    <w:rsid w:val="00A71E26"/>
    <w:rsid w:val="00A93A74"/>
    <w:rsid w:val="00A95853"/>
    <w:rsid w:val="00AC3CF8"/>
    <w:rsid w:val="00AD31EB"/>
    <w:rsid w:val="00AD4A27"/>
    <w:rsid w:val="00AD6D74"/>
    <w:rsid w:val="00AE45DC"/>
    <w:rsid w:val="00B21B5A"/>
    <w:rsid w:val="00B35046"/>
    <w:rsid w:val="00B4515A"/>
    <w:rsid w:val="00B5126C"/>
    <w:rsid w:val="00B616C8"/>
    <w:rsid w:val="00B62FF9"/>
    <w:rsid w:val="00B93C42"/>
    <w:rsid w:val="00BE1CA0"/>
    <w:rsid w:val="00BE34E8"/>
    <w:rsid w:val="00BE4AD0"/>
    <w:rsid w:val="00BF7A0B"/>
    <w:rsid w:val="00C04093"/>
    <w:rsid w:val="00C65D94"/>
    <w:rsid w:val="00C80EAF"/>
    <w:rsid w:val="00CB2292"/>
    <w:rsid w:val="00CF1024"/>
    <w:rsid w:val="00CF2E92"/>
    <w:rsid w:val="00D0129B"/>
    <w:rsid w:val="00D155BD"/>
    <w:rsid w:val="00D51CD8"/>
    <w:rsid w:val="00D55883"/>
    <w:rsid w:val="00D61AEC"/>
    <w:rsid w:val="00D72D51"/>
    <w:rsid w:val="00D7756D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323A-B8C5-4268-B3BF-EBB0160B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22</cp:revision>
  <cp:lastPrinted>2017-02-03T09:01:00Z</cp:lastPrinted>
  <dcterms:created xsi:type="dcterms:W3CDTF">2017-02-20T12:00:00Z</dcterms:created>
  <dcterms:modified xsi:type="dcterms:W3CDTF">2017-02-28T12:32:00Z</dcterms:modified>
</cp:coreProperties>
</file>