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3" w:rsidRPr="004234BC" w:rsidRDefault="00C04093" w:rsidP="003A36E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3A36E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3A36E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3A36E3">
      <w:pPr>
        <w:spacing w:line="276" w:lineRule="auto"/>
        <w:rPr>
          <w:sz w:val="16"/>
          <w:szCs w:val="16"/>
          <w:lang w:eastAsia="uk-UA"/>
        </w:rPr>
      </w:pPr>
    </w:p>
    <w:p w:rsidR="00C04093" w:rsidRDefault="00C04093" w:rsidP="003A36E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DB2D94" w:rsidRPr="00DB2D94" w:rsidRDefault="00DB2D94" w:rsidP="003A36E3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2D94" w:rsidTr="00DB2D94">
        <w:tc>
          <w:tcPr>
            <w:tcW w:w="3209" w:type="dxa"/>
          </w:tcPr>
          <w:p w:rsidR="00DB2D94" w:rsidRDefault="003A36E3" w:rsidP="003A36E3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26</w:t>
            </w:r>
            <w:r w:rsidR="006F72F1">
              <w:rPr>
                <w:b/>
                <w:bCs/>
                <w:lang w:eastAsia="uk-UA"/>
              </w:rPr>
              <w:t>.10</w:t>
            </w:r>
            <w:r w:rsidR="00A42F62">
              <w:rPr>
                <w:b/>
                <w:bCs/>
                <w:lang w:eastAsia="uk-UA"/>
              </w:rPr>
              <w:t>.2017</w:t>
            </w:r>
          </w:p>
        </w:tc>
        <w:tc>
          <w:tcPr>
            <w:tcW w:w="3209" w:type="dxa"/>
          </w:tcPr>
          <w:p w:rsidR="00DB2D94" w:rsidRDefault="00DB2D94" w:rsidP="003A36E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</w:tcPr>
          <w:p w:rsidR="00DB2D94" w:rsidRDefault="00DB2D94" w:rsidP="003A36E3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3A36E3">
              <w:rPr>
                <w:b/>
                <w:bCs/>
                <w:lang w:eastAsia="uk-UA"/>
              </w:rPr>
              <w:t xml:space="preserve"> 127-ОД</w:t>
            </w:r>
            <w:r w:rsidR="00737777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C04093" w:rsidRPr="00EC2C25" w:rsidRDefault="00C04093" w:rsidP="003A36E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3A36E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 w:rsidR="00EE3DDD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E3DDD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  <w:r w:rsidR="00A42F62">
              <w:rPr>
                <w:b/>
                <w:bCs/>
              </w:rPr>
              <w:t xml:space="preserve">, </w:t>
            </w:r>
            <w:r w:rsidR="00737777">
              <w:rPr>
                <w:b/>
              </w:rPr>
              <w:t>031221</w:t>
            </w:r>
            <w:r w:rsidR="00A42F62" w:rsidRPr="00A42F62">
              <w:rPr>
                <w:b/>
              </w:rPr>
              <w:t>0</w:t>
            </w:r>
          </w:p>
        </w:tc>
        <w:tc>
          <w:tcPr>
            <w:tcW w:w="3544" w:type="dxa"/>
          </w:tcPr>
          <w:p w:rsidR="00C04093" w:rsidRPr="00DD073B" w:rsidRDefault="00C04093" w:rsidP="003A36E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3A36E3">
      <w:pPr>
        <w:spacing w:line="276" w:lineRule="auto"/>
        <w:rPr>
          <w:sz w:val="16"/>
          <w:szCs w:val="16"/>
        </w:rPr>
      </w:pPr>
    </w:p>
    <w:p w:rsidR="00C04093" w:rsidRPr="00103AB5" w:rsidRDefault="00C04093" w:rsidP="003A36E3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 xml:space="preserve">від </w:t>
      </w:r>
      <w:r w:rsidR="00786B72">
        <w:t>2</w:t>
      </w:r>
      <w:r w:rsidR="0047236B">
        <w:t>5</w:t>
      </w:r>
      <w:r w:rsidR="00744FD5">
        <w:t>.</w:t>
      </w:r>
      <w:r w:rsidR="0047236B">
        <w:t>10</w:t>
      </w:r>
      <w:r w:rsidR="00744FD5">
        <w:t>.2017</w:t>
      </w:r>
      <w:r w:rsidR="00B35046">
        <w:t>), 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</w:t>
      </w:r>
      <w:r w:rsidR="003A36E3">
        <w:t xml:space="preserve">у </w:t>
      </w:r>
      <w:r w:rsidR="00B35046">
        <w:t>загальному</w:t>
      </w:r>
      <w:r w:rsidR="00103AB5">
        <w:t xml:space="preserve"> </w:t>
      </w:r>
      <w:r w:rsidR="00370DCD">
        <w:t>фонд</w:t>
      </w:r>
      <w:r w:rsidR="003A36E3">
        <w:t>і</w:t>
      </w:r>
      <w:r w:rsidR="00370DCD">
        <w:t xml:space="preserve"> </w:t>
      </w:r>
      <w:r w:rsidR="00B35046">
        <w:t>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3A36E3">
      <w:pPr>
        <w:spacing w:line="276" w:lineRule="auto"/>
        <w:rPr>
          <w:color w:val="000000"/>
          <w:sz w:val="16"/>
          <w:szCs w:val="16"/>
        </w:rPr>
      </w:pPr>
    </w:p>
    <w:p w:rsidR="00474B63" w:rsidRDefault="00C04093" w:rsidP="003A36E3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  <w:rPr>
          <w:color w:val="000000"/>
        </w:rPr>
      </w:pPr>
      <w:r w:rsidRPr="00474B63">
        <w:rPr>
          <w:color w:val="000000"/>
        </w:rPr>
        <w:t>Затвердити</w:t>
      </w:r>
      <w:r w:rsidR="009D4260" w:rsidRPr="00474B63">
        <w:rPr>
          <w:color w:val="000000"/>
        </w:rPr>
        <w:t xml:space="preserve"> в новій редакції</w:t>
      </w:r>
      <w:r w:rsidRPr="00474B63">
        <w:rPr>
          <w:color w:val="000000"/>
        </w:rPr>
        <w:t xml:space="preserve"> паспорт</w:t>
      </w:r>
      <w:r w:rsidR="00474B63" w:rsidRPr="00474B63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474B63" w:rsidRPr="00474B63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2017 рік за КПКВК</w:t>
      </w:r>
      <w:r w:rsidR="00474B63" w:rsidRPr="00474B63">
        <w:rPr>
          <w:color w:val="000000"/>
        </w:rPr>
        <w:t>:</w:t>
      </w:r>
    </w:p>
    <w:p w:rsidR="00474B63" w:rsidRPr="00474B63" w:rsidRDefault="00474B63" w:rsidP="003A36E3">
      <w:pPr>
        <w:pStyle w:val="af1"/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C04093" w:rsidRDefault="00C04093" w:rsidP="003A36E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0312010 «Багатопрофільна стаціонарна медична допомога населенню»</w:t>
      </w:r>
      <w:r w:rsidR="008C56FF">
        <w:t xml:space="preserve"> (додаток</w:t>
      </w:r>
      <w:r w:rsidR="00474B63">
        <w:t xml:space="preserve"> 1</w:t>
      </w:r>
      <w:r w:rsidR="008C56FF">
        <w:t>)</w:t>
      </w:r>
      <w:r w:rsidR="00474B63">
        <w:t>,</w:t>
      </w:r>
    </w:p>
    <w:p w:rsidR="00A42F62" w:rsidRPr="00A42F62" w:rsidRDefault="00A42F62" w:rsidP="003A36E3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474B63" w:rsidRPr="00B4515A" w:rsidRDefault="00737777" w:rsidP="003A36E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031221</w:t>
      </w:r>
      <w:r w:rsidR="00A42F62">
        <w:t>0 «</w:t>
      </w:r>
      <w:r>
        <w:t>Програми і централізовані заходи у галузі охорони здоров’я</w:t>
      </w:r>
      <w:r w:rsidR="00A42F62">
        <w:t>»</w:t>
      </w:r>
      <w:r>
        <w:t xml:space="preserve"> (додаток 2).</w:t>
      </w:r>
    </w:p>
    <w:p w:rsidR="00C04093" w:rsidRPr="00750F89" w:rsidRDefault="00C04093" w:rsidP="003A36E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3A36E3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A42F62">
        <w:rPr>
          <w:color w:val="000000"/>
        </w:rPr>
        <w:t>ів</w:t>
      </w:r>
      <w:r w:rsidR="00C04093" w:rsidRPr="002D6D7E">
        <w:rPr>
          <w:color w:val="000000"/>
        </w:rPr>
        <w:t xml:space="preserve"> бюджетн</w:t>
      </w:r>
      <w:r w:rsidR="00A42F62">
        <w:rPr>
          <w:color w:val="000000"/>
        </w:rPr>
        <w:t>их</w:t>
      </w:r>
      <w:r w:rsidR="00C04093" w:rsidRPr="002D6D7E">
        <w:rPr>
          <w:color w:val="000000"/>
        </w:rPr>
        <w:t xml:space="preserve"> програм, зазначен</w:t>
      </w:r>
      <w:r w:rsidR="00A42F62">
        <w:rPr>
          <w:color w:val="000000"/>
        </w:rPr>
        <w:t xml:space="preserve">их </w:t>
      </w:r>
      <w:r w:rsidR="00C04093" w:rsidRPr="002D6D7E">
        <w:rPr>
          <w:color w:val="000000"/>
        </w:rPr>
        <w:t xml:space="preserve">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3A36E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3A36E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Default="00C04093" w:rsidP="003A36E3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</w:t>
      </w:r>
      <w:r w:rsidR="00FB07F0">
        <w:rPr>
          <w:b/>
          <w:bCs/>
          <w:color w:val="000000"/>
        </w:rPr>
        <w:t xml:space="preserve">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С.А.</w:t>
      </w:r>
      <w:r w:rsidR="008C56FF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3A36E3">
      <w:pPr>
        <w:spacing w:line="276" w:lineRule="auto"/>
        <w:jc w:val="both"/>
        <w:rPr>
          <w:b/>
          <w:bCs/>
          <w:color w:val="000000"/>
        </w:rPr>
        <w:sectPr w:rsidR="008C56FF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5C27" w:rsidRDefault="003A36E3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</w:t>
      </w:r>
      <w:r w:rsidR="0041583A">
        <w:rPr>
          <w:b/>
        </w:rPr>
        <w:t>одаток 1</w:t>
      </w:r>
    </w:p>
    <w:p w:rsidR="0041583A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д</w:t>
      </w:r>
      <w:r w:rsidR="0041583A">
        <w:rPr>
          <w:b/>
        </w:rPr>
        <w:t>о розпорядження міського голови</w:t>
      </w:r>
    </w:p>
    <w:p w:rsidR="0041583A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03.10</w:t>
      </w:r>
      <w:r w:rsidR="0041583A">
        <w:rPr>
          <w:b/>
        </w:rPr>
        <w:t xml:space="preserve">.2017 № </w:t>
      </w:r>
      <w:r>
        <w:rPr>
          <w:b/>
        </w:rPr>
        <w:t>116-ОД</w:t>
      </w:r>
    </w:p>
    <w:p w:rsidR="008C56FF" w:rsidRPr="00961659" w:rsidRDefault="008C56FF" w:rsidP="003A36E3">
      <w:pPr>
        <w:spacing w:line="276" w:lineRule="auto"/>
        <w:ind w:left="10632"/>
        <w:jc w:val="both"/>
        <w:rPr>
          <w:b/>
        </w:rPr>
      </w:pPr>
    </w:p>
    <w:p w:rsidR="00A42F62" w:rsidRPr="005008FC" w:rsidRDefault="00A42F62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A42F62" w:rsidRPr="005008FC" w:rsidRDefault="00A42F62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A42F62" w:rsidRPr="005008FC" w:rsidRDefault="00A42F62" w:rsidP="003A36E3">
      <w:pPr>
        <w:spacing w:line="276" w:lineRule="auto"/>
        <w:ind w:left="8222"/>
      </w:pPr>
      <w:r w:rsidRPr="005008FC">
        <w:t>26.08.2014  № 836</w:t>
      </w:r>
    </w:p>
    <w:p w:rsidR="00A42F62" w:rsidRPr="00961659" w:rsidRDefault="00A42F62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D5208" w:rsidRDefault="000D5208" w:rsidP="003A36E3">
      <w:pPr>
        <w:tabs>
          <w:tab w:val="left" w:pos="8364"/>
        </w:tabs>
        <w:spacing w:line="276" w:lineRule="auto"/>
        <w:ind w:left="8222"/>
      </w:pPr>
      <w:r>
        <w:t>06.02.2017 № 15-ОД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0D4148">
        <w:t>06.02.2017</w:t>
      </w:r>
      <w:r>
        <w:t xml:space="preserve"> № </w:t>
      </w:r>
      <w:r w:rsidR="000D4148">
        <w:t>9-ОД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3A36E3" w:rsidRPr="003A36E3" w:rsidRDefault="003A36E3" w:rsidP="003A36E3">
      <w:pPr>
        <w:spacing w:line="276" w:lineRule="auto"/>
        <w:ind w:left="7514" w:firstLine="708"/>
        <w:jc w:val="both"/>
      </w:pPr>
      <w:r w:rsidRPr="003A36E3">
        <w:t>03.10.2017 № 116-ОД</w:t>
      </w:r>
    </w:p>
    <w:p w:rsidR="00A42F62" w:rsidRDefault="00A42F62" w:rsidP="003A36E3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A42F62" w:rsidRPr="005008FC" w:rsidRDefault="003A36E3" w:rsidP="003A36E3">
      <w:pPr>
        <w:tabs>
          <w:tab w:val="left" w:pos="8364"/>
        </w:tabs>
        <w:spacing w:line="276" w:lineRule="auto"/>
        <w:ind w:left="8222"/>
      </w:pPr>
      <w:r>
        <w:t xml:space="preserve">____________ </w:t>
      </w:r>
      <w:r w:rsidR="0047236B">
        <w:t>№</w:t>
      </w:r>
      <w:r>
        <w:t xml:space="preserve"> _______ )</w:t>
      </w:r>
    </w:p>
    <w:p w:rsidR="008C56FF" w:rsidRPr="005008FC" w:rsidRDefault="008C56FF" w:rsidP="003A36E3">
      <w:pPr>
        <w:tabs>
          <w:tab w:val="left" w:pos="8364"/>
        </w:tabs>
        <w:spacing w:line="276" w:lineRule="auto"/>
        <w:ind w:left="8222"/>
      </w:pPr>
    </w:p>
    <w:p w:rsidR="00FB07F0" w:rsidRPr="00061D62" w:rsidRDefault="00FB07F0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3A36E3">
      <w:pPr>
        <w:spacing w:line="276" w:lineRule="auto"/>
        <w:jc w:val="center"/>
      </w:pPr>
    </w:p>
    <w:p w:rsidR="00FB07F0" w:rsidRPr="002A0B74" w:rsidRDefault="00FB07F0" w:rsidP="003A36E3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3A36E3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3A36E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3A36E3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Default="00FB07F0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47236B">
        <w:t>70832,0</w:t>
      </w:r>
      <w:r w:rsidR="00820E2A"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47236B">
        <w:t>66048,9</w:t>
      </w:r>
      <w:r w:rsidR="00820E2A">
        <w:t xml:space="preserve"> </w:t>
      </w:r>
      <w:r w:rsidRPr="002A0B74">
        <w:t xml:space="preserve">тис. гривень та спеціального фонду – </w:t>
      </w:r>
      <w:r w:rsidR="0047236B">
        <w:t xml:space="preserve"> 4783,1</w:t>
      </w:r>
      <w:r w:rsidR="00820E2A">
        <w:t xml:space="preserve"> </w:t>
      </w:r>
      <w:r w:rsidRPr="002A0B74">
        <w:t xml:space="preserve">тис. гривень. </w:t>
      </w: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Pr="00A324B1" w:rsidRDefault="00A324B1" w:rsidP="003A36E3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FB07F0" w:rsidRPr="002A0B74" w:rsidRDefault="00FB07F0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</w:t>
      </w:r>
      <w:r w:rsidR="006F72F1" w:rsidRPr="002A0B74">
        <w:rPr>
          <w:bCs/>
          <w:color w:val="000000"/>
          <w:shd w:val="clear" w:color="auto" w:fill="FFFFFF"/>
        </w:rPr>
        <w:t xml:space="preserve">від 22.12.2016 </w:t>
      </w:r>
      <w:r w:rsidRPr="002A0B74">
        <w:rPr>
          <w:bCs/>
          <w:color w:val="000000"/>
          <w:shd w:val="clear" w:color="auto" w:fill="FFFFFF"/>
        </w:rPr>
        <w:t xml:space="preserve">«Про міський бюджет міста Ромни на 2017рік»;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3A36E3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Default="00FB07F0" w:rsidP="003A36E3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3A36E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3A36E3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3A36E3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47236B" w:rsidP="003A36E3">
            <w:pPr>
              <w:spacing w:line="276" w:lineRule="auto"/>
              <w:jc w:val="both"/>
            </w:pPr>
            <w:r>
              <w:t>60161,219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1424,836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72214" w:rsidP="003A36E3">
            <w:pPr>
              <w:spacing w:line="276" w:lineRule="auto"/>
              <w:jc w:val="both"/>
            </w:pPr>
            <w:r>
              <w:rPr>
                <w:lang w:val="ru-RU"/>
              </w:rPr>
              <w:t>61586,055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3A36E3">
            <w:pPr>
              <w:spacing w:line="276" w:lineRule="auto"/>
              <w:jc w:val="both"/>
            </w:pPr>
            <w:r>
              <w:t>5887,711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3A36E3">
            <w:pPr>
              <w:spacing w:line="276" w:lineRule="auto"/>
              <w:jc w:val="both"/>
            </w:pPr>
            <w:r>
              <w:t>6009,251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550B1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72214" w:rsidP="003A36E3">
            <w:pPr>
              <w:spacing w:line="276" w:lineRule="auto"/>
              <w:jc w:val="both"/>
            </w:pPr>
            <w:r>
              <w:t>3236,730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72214" w:rsidP="003A36E3">
            <w:pPr>
              <w:spacing w:line="276" w:lineRule="auto"/>
              <w:jc w:val="both"/>
            </w:pPr>
            <w:r>
              <w:t>3236,730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475B68" w:rsidP="003A36E3">
            <w:pPr>
              <w:spacing w:line="276" w:lineRule="auto"/>
              <w:jc w:val="both"/>
            </w:pPr>
            <w:r>
              <w:t>66048,930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4D0135" w:rsidP="003A36E3">
            <w:pPr>
              <w:spacing w:line="276" w:lineRule="auto"/>
              <w:jc w:val="both"/>
            </w:pPr>
            <w:r>
              <w:t>4783,106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4D0135" w:rsidP="003A36E3">
            <w:pPr>
              <w:spacing w:line="276" w:lineRule="auto"/>
              <w:jc w:val="both"/>
            </w:pPr>
            <w:r>
              <w:t>70832,036</w:t>
            </w:r>
          </w:p>
        </w:tc>
      </w:tr>
    </w:tbl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FB07F0" w:rsidRPr="00A550B1" w:rsidRDefault="00FB07F0" w:rsidP="003A36E3">
      <w:pPr>
        <w:spacing w:line="276" w:lineRule="auto"/>
        <w:rPr>
          <w:sz w:val="16"/>
          <w:szCs w:val="16"/>
        </w:rPr>
      </w:pPr>
    </w:p>
    <w:p w:rsidR="00A550B1" w:rsidRDefault="00FB07F0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1"/>
        <w:gridCol w:w="1134"/>
        <w:gridCol w:w="1418"/>
        <w:gridCol w:w="1275"/>
        <w:gridCol w:w="1352"/>
      </w:tblGrid>
      <w:tr w:rsidR="00FB07F0" w:rsidRPr="002A0B74" w:rsidTr="00DC094F">
        <w:trPr>
          <w:trHeight w:val="439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proofErr w:type="spellStart"/>
            <w:r w:rsidRPr="002A0B74">
              <w:t>Спеціаль</w:t>
            </w:r>
            <w:proofErr w:type="spellEnd"/>
            <w:r w:rsidR="006F72F1">
              <w:t>-</w:t>
            </w:r>
            <w:r w:rsidRPr="002A0B74">
              <w:t>ний фонд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DC094F">
        <w:trPr>
          <w:trHeight w:val="286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FB07F0" w:rsidP="003A36E3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1418" w:type="dxa"/>
          </w:tcPr>
          <w:p w:rsidR="00FB07F0" w:rsidRPr="002A0B74" w:rsidRDefault="00131F29" w:rsidP="003A36E3">
            <w:pPr>
              <w:spacing w:line="276" w:lineRule="auto"/>
            </w:pPr>
            <w:r>
              <w:t>10394,535</w:t>
            </w:r>
          </w:p>
        </w:tc>
        <w:tc>
          <w:tcPr>
            <w:tcW w:w="1275" w:type="dxa"/>
          </w:tcPr>
          <w:p w:rsidR="00FB07F0" w:rsidRPr="002A0B74" w:rsidRDefault="00131F29" w:rsidP="003A36E3">
            <w:pPr>
              <w:spacing w:line="276" w:lineRule="auto"/>
            </w:pPr>
            <w:r>
              <w:t>1912,73</w:t>
            </w:r>
            <w:r w:rsidR="00B41BFF">
              <w:t>0</w:t>
            </w:r>
          </w:p>
        </w:tc>
        <w:tc>
          <w:tcPr>
            <w:tcW w:w="1352" w:type="dxa"/>
          </w:tcPr>
          <w:p w:rsidR="00FB07F0" w:rsidRPr="002A0B74" w:rsidRDefault="00236945" w:rsidP="003A36E3">
            <w:pPr>
              <w:spacing w:line="276" w:lineRule="auto"/>
            </w:pPr>
            <w:r>
              <w:t>12307,265</w:t>
            </w:r>
          </w:p>
        </w:tc>
      </w:tr>
      <w:tr w:rsidR="00DC094F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DC094F" w:rsidRPr="002A0B74" w:rsidRDefault="00DC094F" w:rsidP="003A36E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здоров’я нації на 2017-2021</w:t>
            </w:r>
            <w:r w:rsidR="006F72F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</w:t>
            </w:r>
            <w:r w:rsidR="006F72F1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DC094F" w:rsidRPr="002A0B74" w:rsidRDefault="00DC094F" w:rsidP="003A36E3">
            <w:pPr>
              <w:spacing w:line="276" w:lineRule="auto"/>
            </w:pPr>
            <w:r>
              <w:t>0312010</w:t>
            </w:r>
          </w:p>
        </w:tc>
        <w:tc>
          <w:tcPr>
            <w:tcW w:w="1418" w:type="dxa"/>
          </w:tcPr>
          <w:p w:rsidR="00DC094F" w:rsidRDefault="00DC094F" w:rsidP="003A36E3">
            <w:pPr>
              <w:spacing w:line="276" w:lineRule="auto"/>
            </w:pPr>
            <w:r>
              <w:t>80,700</w:t>
            </w:r>
          </w:p>
        </w:tc>
        <w:tc>
          <w:tcPr>
            <w:tcW w:w="1275" w:type="dxa"/>
          </w:tcPr>
          <w:p w:rsidR="00DC094F" w:rsidRDefault="00DC094F" w:rsidP="003A36E3">
            <w:pPr>
              <w:spacing w:line="276" w:lineRule="auto"/>
            </w:pPr>
            <w:r>
              <w:t>98,000</w:t>
            </w:r>
          </w:p>
        </w:tc>
        <w:tc>
          <w:tcPr>
            <w:tcW w:w="1352" w:type="dxa"/>
          </w:tcPr>
          <w:p w:rsidR="00DC094F" w:rsidRDefault="00DC094F" w:rsidP="003A36E3">
            <w:pPr>
              <w:spacing w:line="276" w:lineRule="auto"/>
            </w:pPr>
            <w:r>
              <w:t>178,700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A550B1" w:rsidP="003A36E3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134" w:type="dxa"/>
          </w:tcPr>
          <w:p w:rsidR="00FB07F0" w:rsidRPr="002A0B74" w:rsidRDefault="00FB07F0" w:rsidP="003A36E3">
            <w:pPr>
              <w:spacing w:line="276" w:lineRule="auto"/>
            </w:pPr>
          </w:p>
        </w:tc>
        <w:tc>
          <w:tcPr>
            <w:tcW w:w="1418" w:type="dxa"/>
          </w:tcPr>
          <w:p w:rsidR="00FB07F0" w:rsidRPr="002A0B74" w:rsidRDefault="00075AE6" w:rsidP="003A36E3">
            <w:pPr>
              <w:spacing w:line="276" w:lineRule="auto"/>
            </w:pPr>
            <w:r>
              <w:t>10475,235</w:t>
            </w:r>
          </w:p>
        </w:tc>
        <w:tc>
          <w:tcPr>
            <w:tcW w:w="1275" w:type="dxa"/>
          </w:tcPr>
          <w:p w:rsidR="00FB07F0" w:rsidRPr="002A0B74" w:rsidRDefault="00B41BFF" w:rsidP="003A36E3">
            <w:pPr>
              <w:spacing w:line="276" w:lineRule="auto"/>
            </w:pPr>
            <w:r>
              <w:t>2010,730</w:t>
            </w:r>
          </w:p>
        </w:tc>
        <w:tc>
          <w:tcPr>
            <w:tcW w:w="1352" w:type="dxa"/>
          </w:tcPr>
          <w:p w:rsidR="00FB07F0" w:rsidRPr="002A0B74" w:rsidRDefault="00B41BFF" w:rsidP="003A36E3">
            <w:pPr>
              <w:spacing w:line="276" w:lineRule="auto"/>
            </w:pPr>
            <w:r>
              <w:t>12485,965</w:t>
            </w:r>
          </w:p>
        </w:tc>
      </w:tr>
    </w:tbl>
    <w:p w:rsidR="005E45E1" w:rsidRDefault="005E45E1" w:rsidP="003A36E3">
      <w:pPr>
        <w:spacing w:line="276" w:lineRule="auto"/>
        <w:jc w:val="right"/>
        <w:rPr>
          <w:b/>
          <w:bCs/>
        </w:rPr>
      </w:pPr>
    </w:p>
    <w:p w:rsidR="00FB07F0" w:rsidRDefault="00FB07F0" w:rsidP="003A36E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3A36E3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3A36E3">
            <w:pPr>
              <w:spacing w:line="276" w:lineRule="auto"/>
              <w:jc w:val="both"/>
            </w:pPr>
            <w:r w:rsidRPr="002A0B74">
              <w:t>30,116</w:t>
            </w:r>
          </w:p>
        </w:tc>
      </w:tr>
    </w:tbl>
    <w:p w:rsidR="003A36E3" w:rsidRDefault="003A36E3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9,4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3A36E3">
            <w:pPr>
              <w:spacing w:line="276" w:lineRule="auto"/>
              <w:jc w:val="both"/>
            </w:pPr>
            <w:r>
              <w:t>6009,251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3A36E3">
            <w:pPr>
              <w:spacing w:line="276" w:lineRule="auto"/>
              <w:jc w:val="both"/>
            </w:pPr>
            <w:r>
              <w:t>3253,148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>
              <w:t>754,863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>
              <w:t>1577,139</w:t>
            </w:r>
          </w:p>
        </w:tc>
      </w:tr>
    </w:tbl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>
              <w:t>424,101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>
              <w:t>65,762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both"/>
            </w:pPr>
            <w:r>
              <w:t>597,403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064F79" w:rsidP="003A36E3">
            <w:pPr>
              <w:spacing w:line="276" w:lineRule="auto"/>
              <w:jc w:val="both"/>
            </w:pPr>
            <w:r>
              <w:t>38,160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>
              <w:t>2,608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23,6</w:t>
            </w:r>
            <w:r>
              <w:t>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3F13F8" w:rsidP="003A36E3">
            <w:pPr>
              <w:spacing w:line="276" w:lineRule="auto"/>
              <w:jc w:val="both"/>
            </w:pPr>
            <w:r>
              <w:t>11,33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0,1</w:t>
            </w:r>
          </w:p>
        </w:tc>
      </w:tr>
    </w:tbl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Default="00A324B1" w:rsidP="003A36E3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6F72F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3A36E3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342A4B" w:rsidP="003A36E3">
            <w:pPr>
              <w:spacing w:line="276" w:lineRule="auto"/>
              <w:jc w:val="both"/>
            </w:pPr>
            <w:r>
              <w:t>1767,0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3A36E3">
            <w:pPr>
              <w:spacing w:line="276" w:lineRule="auto"/>
              <w:jc w:val="both"/>
            </w:pPr>
            <w:r>
              <w:t>380,0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3A36E3">
            <w:pPr>
              <w:spacing w:line="276" w:lineRule="auto"/>
              <w:jc w:val="both"/>
            </w:pPr>
            <w:r>
              <w:t>250,0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A36E3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A36E3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A36E3">
            <w:pPr>
              <w:spacing w:line="276" w:lineRule="auto"/>
              <w:jc w:val="both"/>
            </w:pPr>
            <w:r>
              <w:t>80,0</w:t>
            </w:r>
          </w:p>
        </w:tc>
      </w:tr>
      <w:tr w:rsidR="003F13F8" w:rsidRPr="003F13F8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3F13F8" w:rsidRDefault="003F13F8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3F13F8" w:rsidRPr="003F13F8" w:rsidRDefault="003F13F8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3F13F8" w:rsidRDefault="003F13F8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3F13F8">
              <w:rPr>
                <w:bCs/>
                <w:color w:val="000000"/>
              </w:rPr>
              <w:t xml:space="preserve">Обсяг видатків на придбання обладнання </w:t>
            </w:r>
            <w:r>
              <w:rPr>
                <w:bCs/>
                <w:color w:val="000000"/>
              </w:rPr>
              <w:t xml:space="preserve">(електрокардіограф з </w:t>
            </w:r>
            <w:proofErr w:type="spellStart"/>
            <w:r>
              <w:rPr>
                <w:bCs/>
                <w:color w:val="000000"/>
              </w:rPr>
              <w:t>холтерівською</w:t>
            </w:r>
            <w:proofErr w:type="spellEnd"/>
            <w:r>
              <w:rPr>
                <w:bCs/>
                <w:color w:val="000000"/>
              </w:rPr>
              <w:t xml:space="preserve"> системою та апарат штучної вентиляції </w:t>
            </w:r>
            <w:proofErr w:type="spellStart"/>
            <w:r>
              <w:rPr>
                <w:bCs/>
                <w:color w:val="000000"/>
              </w:rPr>
              <w:t>легенів</w:t>
            </w:r>
            <w:proofErr w:type="spellEnd"/>
            <w:r>
              <w:rPr>
                <w:bCs/>
                <w:color w:val="000000"/>
              </w:rPr>
              <w:t xml:space="preserve"> для надання медичної допомоги населенню)</w:t>
            </w:r>
          </w:p>
        </w:tc>
        <w:tc>
          <w:tcPr>
            <w:tcW w:w="931" w:type="pct"/>
          </w:tcPr>
          <w:p w:rsidR="003F13F8" w:rsidRPr="00560E4F" w:rsidRDefault="003F13F8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3F13F8" w:rsidRDefault="003F13F8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3F13F8" w:rsidRDefault="003F13F8" w:rsidP="003A36E3">
            <w:pPr>
              <w:spacing w:line="276" w:lineRule="auto"/>
              <w:jc w:val="both"/>
            </w:pPr>
            <w:r>
              <w:t>590,0</w:t>
            </w:r>
          </w:p>
        </w:tc>
      </w:tr>
      <w:tr w:rsidR="001A0069" w:rsidRPr="001A0069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1A0069" w:rsidRDefault="001A0069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1A0069" w:rsidRPr="001A0069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1A0069" w:rsidRDefault="001A0069" w:rsidP="003A36E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A0069">
              <w:rPr>
                <w:bCs/>
                <w:color w:val="000000"/>
              </w:rPr>
              <w:t xml:space="preserve">Придбання </w:t>
            </w:r>
            <w:proofErr w:type="spellStart"/>
            <w:r w:rsidRPr="001A0069">
              <w:rPr>
                <w:bCs/>
                <w:color w:val="000000"/>
              </w:rPr>
              <w:t>лапар</w:t>
            </w:r>
            <w:r>
              <w:rPr>
                <w:bCs/>
                <w:color w:val="000000"/>
              </w:rPr>
              <w:t>а</w:t>
            </w:r>
            <w:r w:rsidRPr="001A0069">
              <w:rPr>
                <w:bCs/>
                <w:color w:val="000000"/>
              </w:rPr>
              <w:t>скопу</w:t>
            </w:r>
            <w:proofErr w:type="spellEnd"/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1A0069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1A0069" w:rsidRDefault="00CF0643" w:rsidP="003A36E3">
            <w:pPr>
              <w:spacing w:line="276" w:lineRule="auto"/>
              <w:jc w:val="both"/>
            </w:pPr>
            <w:r>
              <w:t>49</w:t>
            </w:r>
            <w:r w:rsidR="001A0069">
              <w:t>,730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  <w:r>
              <w:t>1472,3</w:t>
            </w: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  <w:p w:rsidR="00A324B1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3A36E3">
            <w:pPr>
              <w:spacing w:line="276" w:lineRule="auto"/>
              <w:jc w:val="both"/>
            </w:pPr>
            <w:r w:rsidRPr="00560E4F">
              <w:t>390</w:t>
            </w:r>
          </w:p>
        </w:tc>
      </w:tr>
    </w:tbl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6F72F1">
        <w:trPr>
          <w:trHeight w:val="371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>
              <w:t>5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342A4B" w:rsidP="003A36E3">
            <w:pPr>
              <w:spacing w:line="276" w:lineRule="auto"/>
              <w:jc w:val="both"/>
            </w:pPr>
            <w:r>
              <w:t>1,200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>
              <w:t>0,974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3A36E3">
            <w:pPr>
              <w:spacing w:line="276" w:lineRule="auto"/>
              <w:jc w:val="both"/>
            </w:pPr>
            <w:r>
              <w:t>1,142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592B04" w:rsidP="003A36E3">
            <w:pPr>
              <w:spacing w:line="276" w:lineRule="auto"/>
              <w:jc w:val="both"/>
            </w:pPr>
            <w:r>
              <w:t>167,946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2A0B74" w:rsidRDefault="009215E1" w:rsidP="003A36E3">
            <w:pPr>
              <w:spacing w:line="276" w:lineRule="auto"/>
            </w:pPr>
          </w:p>
        </w:tc>
        <w:tc>
          <w:tcPr>
            <w:tcW w:w="441" w:type="pct"/>
            <w:shd w:val="clear" w:color="auto" w:fill="auto"/>
          </w:tcPr>
          <w:p w:rsidR="009215E1" w:rsidRPr="002A0B74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3A36E3">
            <w:pPr>
              <w:spacing w:line="276" w:lineRule="auto"/>
              <w:jc w:val="both"/>
            </w:pPr>
            <w:r>
              <w:t>33,3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3A36E3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165761" w:rsidP="003A36E3">
            <w:pPr>
              <w:spacing w:line="276" w:lineRule="auto"/>
              <w:jc w:val="both"/>
            </w:pPr>
            <w:r>
              <w:t>20,5</w:t>
            </w:r>
          </w:p>
        </w:tc>
      </w:tr>
    </w:tbl>
    <w:p w:rsidR="00FB07F0" w:rsidRDefault="00FB07F0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A324B1" w:rsidRDefault="00A324B1" w:rsidP="003A36E3">
      <w:pPr>
        <w:spacing w:line="276" w:lineRule="auto"/>
        <w:ind w:firstLine="426"/>
      </w:pPr>
    </w:p>
    <w:p w:rsidR="006F72F1" w:rsidRDefault="006F72F1" w:rsidP="003A36E3">
      <w:pPr>
        <w:spacing w:line="276" w:lineRule="auto"/>
        <w:ind w:firstLine="426"/>
      </w:pPr>
    </w:p>
    <w:p w:rsidR="006F72F1" w:rsidRDefault="006F72F1" w:rsidP="003A36E3">
      <w:pPr>
        <w:spacing w:line="276" w:lineRule="auto"/>
        <w:ind w:firstLine="426"/>
      </w:pPr>
    </w:p>
    <w:p w:rsidR="00A324B1" w:rsidRPr="00FB07F0" w:rsidRDefault="00A324B1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3A36E3">
      <w:pPr>
        <w:spacing w:line="276" w:lineRule="auto"/>
        <w:ind w:firstLine="426"/>
      </w:pPr>
    </w:p>
    <w:p w:rsidR="00FB07F0" w:rsidRPr="002A0B74" w:rsidRDefault="00FB07F0" w:rsidP="003A36E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DB2D94" w:rsidRDefault="00DB2D94" w:rsidP="003A36E3">
      <w:pPr>
        <w:spacing w:line="276" w:lineRule="auto"/>
        <w:ind w:firstLine="13041"/>
      </w:pPr>
    </w:p>
    <w:p w:rsidR="00FB07F0" w:rsidRPr="002A0B74" w:rsidRDefault="00FB07F0" w:rsidP="003A36E3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4706CD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3A36E3">
      <w:pPr>
        <w:spacing w:line="276" w:lineRule="auto"/>
        <w:jc w:val="both"/>
        <w:rPr>
          <w:vertAlign w:val="superscript"/>
        </w:rPr>
      </w:pPr>
    </w:p>
    <w:p w:rsidR="00DB2D94" w:rsidRPr="00DB2D94" w:rsidRDefault="00DB2D94" w:rsidP="003A36E3">
      <w:pPr>
        <w:spacing w:line="276" w:lineRule="auto"/>
        <w:jc w:val="both"/>
        <w:rPr>
          <w:vertAlign w:val="superscript"/>
        </w:rPr>
      </w:pPr>
    </w:p>
    <w:p w:rsidR="00FB07F0" w:rsidRPr="00DB2D94" w:rsidRDefault="00FB07F0" w:rsidP="003A36E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215E1" w:rsidRDefault="009215E1" w:rsidP="003A36E3">
      <w:pPr>
        <w:spacing w:line="276" w:lineRule="auto"/>
        <w:jc w:val="both"/>
      </w:pPr>
    </w:p>
    <w:p w:rsidR="00FB07F0" w:rsidRPr="00DB2D94" w:rsidRDefault="00FB07F0" w:rsidP="003A36E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B07F0" w:rsidRPr="002A0B74" w:rsidRDefault="00FB07F0" w:rsidP="003A36E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Pr="006A6AB8" w:rsidRDefault="00FB07F0" w:rsidP="003A36E3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B07F0" w:rsidRPr="006A6AB8" w:rsidRDefault="00FB07F0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DB2D94" w:rsidRDefault="00A42F62" w:rsidP="003A36E3">
      <w:pPr>
        <w:spacing w:line="276" w:lineRule="auto"/>
        <w:rPr>
          <w:b/>
        </w:rPr>
      </w:pPr>
      <w:r>
        <w:rPr>
          <w:b/>
        </w:rPr>
        <w:t>Н</w:t>
      </w:r>
      <w:r w:rsidR="00DB2D94" w:rsidRPr="006A6AB8">
        <w:rPr>
          <w:b/>
        </w:rPr>
        <w:t>ачальник</w:t>
      </w:r>
      <w:r w:rsidR="00DB2D94">
        <w:rPr>
          <w:b/>
        </w:rPr>
        <w:t xml:space="preserve"> </w:t>
      </w:r>
      <w:r w:rsidR="00DB2D94"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0131B3" w:rsidRDefault="000131B3" w:rsidP="003A36E3">
      <w:pPr>
        <w:spacing w:line="276" w:lineRule="auto"/>
        <w:rPr>
          <w:b/>
        </w:rPr>
      </w:pPr>
    </w:p>
    <w:p w:rsidR="006F72F1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Додаток 2</w:t>
      </w:r>
    </w:p>
    <w:p w:rsidR="006F72F1" w:rsidRDefault="006F72F1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до розпорядження міського голови</w:t>
      </w:r>
    </w:p>
    <w:p w:rsidR="006F72F1" w:rsidRDefault="003A36E3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>26</w:t>
      </w:r>
      <w:r w:rsidR="006F72F1">
        <w:rPr>
          <w:b/>
        </w:rPr>
        <w:t>.10.2017 № 1</w:t>
      </w:r>
      <w:r>
        <w:rPr>
          <w:b/>
        </w:rPr>
        <w:t>27</w:t>
      </w:r>
      <w:r w:rsidR="006F72F1">
        <w:rPr>
          <w:b/>
        </w:rPr>
        <w:t>-ОД</w:t>
      </w:r>
    </w:p>
    <w:p w:rsidR="00536805" w:rsidRPr="00961659" w:rsidRDefault="00536805" w:rsidP="003A36E3">
      <w:pPr>
        <w:spacing w:line="276" w:lineRule="auto"/>
        <w:ind w:left="8505"/>
        <w:rPr>
          <w:caps/>
          <w:sz w:val="16"/>
          <w:szCs w:val="16"/>
        </w:rPr>
      </w:pPr>
    </w:p>
    <w:p w:rsidR="006F72F1" w:rsidRPr="005008FC" w:rsidRDefault="006F72F1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6F72F1" w:rsidRPr="005008FC" w:rsidRDefault="006F72F1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6F72F1" w:rsidRPr="005008FC" w:rsidRDefault="006F72F1" w:rsidP="003A36E3">
      <w:pPr>
        <w:spacing w:line="276" w:lineRule="auto"/>
        <w:ind w:left="8222"/>
      </w:pPr>
      <w:r w:rsidRPr="005008FC">
        <w:t>26.08.2014  № 836</w:t>
      </w:r>
    </w:p>
    <w:p w:rsidR="006F72F1" w:rsidRPr="00961659" w:rsidRDefault="006F72F1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06.02.2017 № 15-ОД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06.02.2017 № 9-ОД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3A36E3" w:rsidRDefault="003A36E3" w:rsidP="003A36E3">
      <w:pPr>
        <w:spacing w:line="276" w:lineRule="auto"/>
        <w:ind w:left="7514" w:firstLine="708"/>
        <w:jc w:val="both"/>
        <w:rPr>
          <w:b/>
        </w:rPr>
      </w:pPr>
      <w:r>
        <w:rPr>
          <w:b/>
        </w:rPr>
        <w:t>26.10.2017 № 127-ОД</w:t>
      </w:r>
    </w:p>
    <w:p w:rsidR="006F72F1" w:rsidRDefault="006F72F1" w:rsidP="003A36E3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6F72F1" w:rsidRPr="005008FC" w:rsidRDefault="000D5208" w:rsidP="003A36E3">
      <w:pPr>
        <w:tabs>
          <w:tab w:val="left" w:pos="8364"/>
        </w:tabs>
        <w:spacing w:line="276" w:lineRule="auto"/>
        <w:ind w:left="8222"/>
      </w:pPr>
      <w:r>
        <w:t>_______</w:t>
      </w:r>
      <w:r w:rsidR="003A36E3">
        <w:t>____</w:t>
      </w:r>
      <w:r>
        <w:t>_</w:t>
      </w:r>
      <w:r w:rsidR="00317913">
        <w:t xml:space="preserve"> № </w:t>
      </w:r>
      <w:r w:rsidR="003A36E3">
        <w:t>________ )</w:t>
      </w:r>
    </w:p>
    <w:p w:rsidR="00536805" w:rsidRDefault="00536805" w:rsidP="003A36E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536805" w:rsidRPr="00E33EC7" w:rsidRDefault="00536805" w:rsidP="003A36E3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536805" w:rsidRPr="00F75FCE" w:rsidRDefault="00536805" w:rsidP="003A36E3">
      <w:pPr>
        <w:spacing w:line="276" w:lineRule="auto"/>
        <w:jc w:val="center"/>
        <w:rPr>
          <w:sz w:val="16"/>
          <w:szCs w:val="16"/>
        </w:rPr>
      </w:pPr>
    </w:p>
    <w:p w:rsidR="00536805" w:rsidRPr="002A0B74" w:rsidRDefault="00536805" w:rsidP="003A36E3">
      <w:pPr>
        <w:spacing w:line="276" w:lineRule="auto"/>
        <w:ind w:firstLine="362"/>
      </w:pPr>
      <w:r w:rsidRPr="00244DBD">
        <w:rPr>
          <w:u w:val="single"/>
        </w:rPr>
        <w:t xml:space="preserve">1.       0300000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536805" w:rsidRPr="00244DBD" w:rsidRDefault="00536805" w:rsidP="003A36E3">
      <w:pPr>
        <w:spacing w:line="276" w:lineRule="auto"/>
        <w:ind w:firstLine="363"/>
        <w:rPr>
          <w:u w:val="single"/>
        </w:rPr>
      </w:pPr>
      <w:r w:rsidRPr="00244DBD">
        <w:rPr>
          <w:u w:val="single"/>
        </w:rPr>
        <w:t>2.      0310000                      Роменська центральна районна лікарня</w:t>
      </w:r>
    </w:p>
    <w:p w:rsidR="00536805" w:rsidRPr="002A0B74" w:rsidRDefault="00536805" w:rsidP="003A36E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536805" w:rsidRPr="00E33EC7" w:rsidRDefault="00536805" w:rsidP="003A36E3">
      <w:pPr>
        <w:spacing w:before="120" w:line="276" w:lineRule="auto"/>
        <w:ind w:firstLine="363"/>
      </w:pPr>
      <w:r w:rsidRPr="00244DBD">
        <w:rPr>
          <w:u w:val="single"/>
        </w:rPr>
        <w:t>3.     031221</w:t>
      </w:r>
      <w:r w:rsidR="00452F85">
        <w:rPr>
          <w:u w:val="single"/>
        </w:rPr>
        <w:t>0</w:t>
      </w:r>
      <w:r w:rsidRPr="00244DBD">
        <w:rPr>
          <w:u w:val="single"/>
        </w:rPr>
        <w:t xml:space="preserve">  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6F72F1" w:rsidRDefault="00536805" w:rsidP="003A36E3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 w:rsidR="00465025">
        <w:t>1212,1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 w:rsidR="00465025">
        <w:t>1212,1</w:t>
      </w:r>
      <w:r w:rsidRPr="00E33EC7">
        <w:t xml:space="preserve"> тис. гривень та спеціального фонду –  тис. гривень. </w:t>
      </w:r>
      <w:r w:rsidR="002A2CA5">
        <w:t xml:space="preserve">    </w:t>
      </w:r>
    </w:p>
    <w:p w:rsidR="006F72F1" w:rsidRDefault="006F72F1" w:rsidP="003A36E3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536805" w:rsidRPr="00E33EC7" w:rsidRDefault="002A2CA5" w:rsidP="003A36E3">
      <w:pPr>
        <w:spacing w:line="276" w:lineRule="auto"/>
        <w:jc w:val="both"/>
      </w:pPr>
      <w:r>
        <w:t xml:space="preserve">           </w:t>
      </w:r>
    </w:p>
    <w:p w:rsidR="00536805" w:rsidRPr="00E33EC7" w:rsidRDefault="00536805" w:rsidP="003A36E3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 w:rsidR="006F72F1"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 xml:space="preserve">Основи законодавства України про охорону здоров'я» №2801-ХІІ від 19.11.1992; Рішення </w:t>
      </w:r>
      <w:r w:rsidR="006F72F1">
        <w:rPr>
          <w:bCs/>
          <w:color w:val="000000"/>
          <w:shd w:val="clear" w:color="auto" w:fill="FFFFFF"/>
        </w:rPr>
        <w:t xml:space="preserve">Роменської </w:t>
      </w:r>
      <w:r w:rsidRPr="00E33EC7">
        <w:rPr>
          <w:bCs/>
          <w:color w:val="000000"/>
          <w:shd w:val="clear" w:color="auto" w:fill="FFFFFF"/>
        </w:rPr>
        <w:t xml:space="preserve">міської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22.12.2016 «Про міський бюджет міста Ромни на 2017</w:t>
      </w:r>
      <w:r>
        <w:rPr>
          <w:bCs/>
          <w:color w:val="000000"/>
          <w:shd w:val="clear" w:color="auto" w:fill="FFFFFF"/>
        </w:rPr>
        <w:t xml:space="preserve"> рік»</w:t>
      </w:r>
      <w:r w:rsidRPr="00E33EC7">
        <w:rPr>
          <w:bCs/>
          <w:color w:val="000000"/>
          <w:shd w:val="clear" w:color="auto" w:fill="FFFFFF"/>
        </w:rPr>
        <w:t>; Наказ Мінфіну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№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836 від 26.08.2014 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536805" w:rsidRPr="00E33EC7" w:rsidRDefault="00536805" w:rsidP="003A36E3">
      <w:pPr>
        <w:spacing w:after="120" w:line="276" w:lineRule="auto"/>
        <w:ind w:firstLine="363"/>
        <w:jc w:val="both"/>
      </w:pPr>
      <w:r w:rsidRPr="00E33EC7">
        <w:t>6. Мета бюджетної програми: Забезпечення надання медичної допомоги хворим на цукровий та нецукровий діабет</w:t>
      </w:r>
    </w:p>
    <w:p w:rsidR="00536805" w:rsidRDefault="00536805" w:rsidP="003A36E3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p w:rsidR="00536805" w:rsidRPr="00E33EC7" w:rsidRDefault="00536805" w:rsidP="003A36E3">
      <w:pPr>
        <w:spacing w:after="120" w:line="276" w:lineRule="auto"/>
        <w:ind w:firstLine="363"/>
        <w:jc w:val="both"/>
      </w:pPr>
    </w:p>
    <w:tbl>
      <w:tblPr>
        <w:tblW w:w="145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235"/>
        <w:gridCol w:w="1985"/>
        <w:gridCol w:w="9940"/>
      </w:tblGrid>
      <w:tr w:rsidR="00536805" w:rsidRPr="00E33EC7" w:rsidTr="006F72F1">
        <w:trPr>
          <w:trHeight w:val="330"/>
        </w:trPr>
        <w:tc>
          <w:tcPr>
            <w:tcW w:w="140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536805" w:rsidRPr="00E33EC7" w:rsidTr="006F72F1">
        <w:trPr>
          <w:trHeight w:hRule="exact" w:val="340"/>
        </w:trPr>
        <w:tc>
          <w:tcPr>
            <w:tcW w:w="140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244DBD" w:rsidRDefault="00536805" w:rsidP="003A36E3">
            <w:pPr>
              <w:spacing w:line="276" w:lineRule="auto"/>
              <w:jc w:val="both"/>
            </w:pPr>
            <w:r w:rsidRPr="00244DBD">
              <w:t>031221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</w:tbl>
    <w:p w:rsidR="00536805" w:rsidRPr="00E33EC7" w:rsidRDefault="00536805" w:rsidP="003A36E3">
      <w:pPr>
        <w:spacing w:line="276" w:lineRule="auto"/>
        <w:ind w:left="140" w:firstLine="223"/>
      </w:pPr>
    </w:p>
    <w:p w:rsidR="00536805" w:rsidRPr="00E33EC7" w:rsidRDefault="00536805" w:rsidP="003A36E3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536805" w:rsidRPr="00E33EC7" w:rsidRDefault="00536805" w:rsidP="003A36E3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4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2164"/>
        <w:gridCol w:w="5180"/>
        <w:gridCol w:w="1680"/>
        <w:gridCol w:w="1680"/>
        <w:gridCol w:w="1400"/>
      </w:tblGrid>
      <w:tr w:rsidR="00536805" w:rsidRPr="00E33EC7" w:rsidTr="006F72F1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0312214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Default="00536805" w:rsidP="003A36E3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</w:tr>
      <w:tr w:rsidR="004554F8" w:rsidRPr="00E33EC7" w:rsidTr="006F72F1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F8" w:rsidRPr="00E33EC7" w:rsidRDefault="004554F8" w:rsidP="003A36E3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  <w:r>
              <w:t>1181,670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  <w:r>
              <w:t>1181,670</w:t>
            </w:r>
          </w:p>
        </w:tc>
      </w:tr>
      <w:tr w:rsidR="004554F8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F8" w:rsidRPr="00E33EC7" w:rsidRDefault="004554F8" w:rsidP="003A36E3">
            <w:pPr>
              <w:spacing w:line="276" w:lineRule="auto"/>
              <w:jc w:val="both"/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  <w:r>
              <w:t>30,478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  <w:r>
              <w:t>30,478</w:t>
            </w:r>
          </w:p>
        </w:tc>
      </w:tr>
      <w:tr w:rsidR="004554F8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F8" w:rsidRPr="00E33EC7" w:rsidRDefault="004554F8" w:rsidP="003A36E3">
            <w:pPr>
              <w:spacing w:line="276" w:lineRule="auto"/>
              <w:jc w:val="both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  <w:r>
              <w:t>1212,148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8" w:rsidRPr="00E33EC7" w:rsidRDefault="004554F8" w:rsidP="003A36E3">
            <w:pPr>
              <w:spacing w:line="276" w:lineRule="auto"/>
            </w:pPr>
            <w:r>
              <w:t>1212,148</w:t>
            </w:r>
          </w:p>
        </w:tc>
      </w:tr>
    </w:tbl>
    <w:p w:rsidR="00536805" w:rsidRDefault="00536805" w:rsidP="003A36E3">
      <w:pPr>
        <w:spacing w:line="276" w:lineRule="auto"/>
      </w:pPr>
    </w:p>
    <w:p w:rsidR="006F72F1" w:rsidRDefault="006F72F1" w:rsidP="003A36E3">
      <w:pPr>
        <w:spacing w:line="276" w:lineRule="auto"/>
      </w:pPr>
    </w:p>
    <w:p w:rsidR="003A36E3" w:rsidRDefault="003A36E3" w:rsidP="003A36E3">
      <w:pPr>
        <w:spacing w:line="276" w:lineRule="auto"/>
      </w:pPr>
    </w:p>
    <w:p w:rsidR="003A36E3" w:rsidRDefault="003A36E3" w:rsidP="003A36E3">
      <w:pPr>
        <w:spacing w:line="276" w:lineRule="auto"/>
      </w:pPr>
    </w:p>
    <w:p w:rsidR="003A36E3" w:rsidRDefault="003A36E3" w:rsidP="003A36E3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6F72F1" w:rsidRDefault="006F72F1" w:rsidP="003A36E3">
      <w:pPr>
        <w:spacing w:line="276" w:lineRule="auto"/>
      </w:pPr>
    </w:p>
    <w:p w:rsidR="00536805" w:rsidRPr="00E33EC7" w:rsidRDefault="00536805" w:rsidP="003A36E3">
      <w:pPr>
        <w:spacing w:line="276" w:lineRule="auto"/>
        <w:ind w:firstLine="357"/>
      </w:pPr>
      <w:r w:rsidRPr="00E33EC7">
        <w:t>9. Перелік регіональних цільових програм, які виконуються у складі бюджетної програми</w:t>
      </w:r>
    </w:p>
    <w:p w:rsidR="00536805" w:rsidRPr="00E33EC7" w:rsidRDefault="00536805" w:rsidP="003A36E3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536805" w:rsidRPr="00E33EC7" w:rsidTr="006F72F1">
        <w:trPr>
          <w:trHeight w:val="838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286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536805" w:rsidRPr="00E33EC7" w:rsidTr="006F72F1">
        <w:trPr>
          <w:trHeight w:val="255"/>
        </w:trPr>
        <w:tc>
          <w:tcPr>
            <w:tcW w:w="4497" w:type="dxa"/>
            <w:shd w:val="clear" w:color="auto" w:fill="auto"/>
          </w:tcPr>
          <w:p w:rsidR="00536805" w:rsidRPr="00E33EC7" w:rsidRDefault="00536805" w:rsidP="003A36E3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</w:tcPr>
          <w:p w:rsidR="00536805" w:rsidRPr="00E33EC7" w:rsidRDefault="00536805" w:rsidP="003A36E3">
            <w:pPr>
              <w:spacing w:line="276" w:lineRule="auto"/>
            </w:pPr>
            <w:r>
              <w:t>-</w:t>
            </w:r>
          </w:p>
        </w:tc>
      </w:tr>
    </w:tbl>
    <w:p w:rsidR="006F72F1" w:rsidRDefault="006F72F1" w:rsidP="003A36E3">
      <w:pPr>
        <w:spacing w:line="276" w:lineRule="auto"/>
        <w:ind w:firstLine="357"/>
      </w:pPr>
    </w:p>
    <w:p w:rsidR="00536805" w:rsidRPr="00E33EC7" w:rsidRDefault="00536805" w:rsidP="003A36E3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536805" w:rsidRPr="00E33EC7" w:rsidRDefault="00536805" w:rsidP="003A36E3">
      <w:pPr>
        <w:spacing w:line="276" w:lineRule="auto"/>
        <w:ind w:firstLine="357"/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536805" w:rsidRPr="00E33EC7" w:rsidTr="006F72F1">
        <w:trPr>
          <w:trHeight w:val="493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536805" w:rsidRPr="00E33EC7" w:rsidTr="006F72F1">
        <w:trPr>
          <w:trHeight w:val="189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536805" w:rsidRPr="00E33EC7" w:rsidTr="00721FA7">
        <w:trPr>
          <w:trHeight w:val="405"/>
        </w:trPr>
        <w:tc>
          <w:tcPr>
            <w:tcW w:w="29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1</w:t>
            </w:r>
            <w:r>
              <w:t>.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shd w:val="clear" w:color="auto" w:fill="auto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B4437E" w:rsidP="003A36E3">
            <w:pPr>
              <w:spacing w:line="276" w:lineRule="auto"/>
            </w:pPr>
            <w:r>
              <w:t>1181,670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  <w:r w:rsidRPr="00E33EC7">
              <w:t>320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B4437E" w:rsidP="003A36E3">
            <w:pPr>
              <w:spacing w:line="276" w:lineRule="auto"/>
            </w:pPr>
            <w:r>
              <w:t>57,0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2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2.1.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3A36E3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6F72F1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728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3A36E3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7A5CDA" w:rsidP="003A36E3">
            <w:pPr>
              <w:spacing w:line="276" w:lineRule="auto"/>
            </w:pPr>
            <w:r>
              <w:t>30,478</w:t>
            </w:r>
          </w:p>
        </w:tc>
      </w:tr>
    </w:tbl>
    <w:p w:rsidR="00721FA7" w:rsidRDefault="00721FA7" w:rsidP="003A36E3">
      <w:pPr>
        <w:spacing w:line="276" w:lineRule="auto"/>
        <w:jc w:val="right"/>
        <w:rPr>
          <w:b/>
        </w:rPr>
      </w:pPr>
      <w:r w:rsidRPr="00721FA7">
        <w:rPr>
          <w:b/>
        </w:rPr>
        <w:lastRenderedPageBreak/>
        <w:t>Продовження додатка 2</w:t>
      </w:r>
    </w:p>
    <w:p w:rsidR="00721FA7" w:rsidRPr="00721FA7" w:rsidRDefault="00721FA7" w:rsidP="003A36E3">
      <w:pPr>
        <w:spacing w:line="276" w:lineRule="auto"/>
        <w:jc w:val="right"/>
        <w:rPr>
          <w:b/>
          <w:sz w:val="16"/>
          <w:szCs w:val="16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  <w:r>
              <w:t>2.2.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6F72F1" w:rsidRPr="00E33EC7" w:rsidRDefault="006F72F1" w:rsidP="003A36E3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33EC7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 w:rsidRPr="00E33EC7">
              <w:t>7</w:t>
            </w: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  <w:r>
              <w:t>2.3.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33EC7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3A36E3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7A5CDA" w:rsidP="003A36E3">
            <w:pPr>
              <w:spacing w:line="276" w:lineRule="auto"/>
              <w:jc w:val="both"/>
            </w:pPr>
            <w:r>
              <w:t>63,4</w:t>
            </w:r>
          </w:p>
        </w:tc>
      </w:tr>
    </w:tbl>
    <w:p w:rsidR="00721FA7" w:rsidRPr="00721FA7" w:rsidRDefault="00721FA7" w:rsidP="003A36E3">
      <w:pPr>
        <w:spacing w:line="276" w:lineRule="auto"/>
        <w:ind w:firstLine="426"/>
        <w:rPr>
          <w:sz w:val="16"/>
          <w:szCs w:val="16"/>
        </w:rPr>
      </w:pPr>
    </w:p>
    <w:p w:rsidR="00536805" w:rsidRPr="00E33EC7" w:rsidRDefault="00536805" w:rsidP="003A36E3">
      <w:pPr>
        <w:spacing w:line="276" w:lineRule="auto"/>
        <w:ind w:firstLine="426"/>
      </w:pPr>
      <w:r w:rsidRPr="00E33EC7"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536805" w:rsidRPr="00E33EC7" w:rsidRDefault="00536805" w:rsidP="003A36E3">
      <w:pPr>
        <w:spacing w:line="276" w:lineRule="auto"/>
        <w:ind w:firstLine="13041"/>
      </w:pPr>
      <w:bookmarkStart w:id="0" w:name="_GoBack"/>
      <w:bookmarkEnd w:id="0"/>
      <w:r w:rsidRPr="00E33EC7">
        <w:t>(тис. грн)</w:t>
      </w:r>
    </w:p>
    <w:tbl>
      <w:tblPr>
        <w:tblW w:w="4863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095"/>
        <w:gridCol w:w="1099"/>
        <w:gridCol w:w="1045"/>
        <w:gridCol w:w="1051"/>
        <w:gridCol w:w="895"/>
        <w:gridCol w:w="1042"/>
        <w:gridCol w:w="1118"/>
        <w:gridCol w:w="827"/>
        <w:gridCol w:w="1045"/>
        <w:gridCol w:w="1042"/>
        <w:gridCol w:w="906"/>
        <w:gridCol w:w="1175"/>
      </w:tblGrid>
      <w:tr w:rsidR="00536805" w:rsidRPr="00E33EC7" w:rsidTr="006F72F1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536805" w:rsidRPr="00E33EC7" w:rsidTr="006F72F1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</w:pPr>
          </w:p>
        </w:tc>
      </w:tr>
      <w:tr w:rsidR="00536805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3A36E3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4706CD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3A36E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536805" w:rsidRPr="00E33EC7" w:rsidRDefault="00536805" w:rsidP="003A36E3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3A36E3" w:rsidRPr="003A36E3" w:rsidRDefault="003A36E3" w:rsidP="003A36E3">
      <w:pPr>
        <w:spacing w:line="276" w:lineRule="auto"/>
        <w:rPr>
          <w:b/>
          <w:sz w:val="16"/>
          <w:szCs w:val="16"/>
        </w:rPr>
      </w:pPr>
    </w:p>
    <w:p w:rsidR="00536805" w:rsidRPr="00721FA7" w:rsidRDefault="00536805" w:rsidP="003A36E3">
      <w:pPr>
        <w:spacing w:line="276" w:lineRule="auto"/>
        <w:rPr>
          <w:b/>
          <w:sz w:val="16"/>
          <w:szCs w:val="16"/>
        </w:rPr>
      </w:pPr>
      <w:r w:rsidRPr="006A6AB8">
        <w:rPr>
          <w:b/>
        </w:rPr>
        <w:t>Міський голова</w:t>
      </w:r>
      <w:r w:rsidR="00721FA7">
        <w:rPr>
          <w:b/>
        </w:rPr>
        <w:t xml:space="preserve"> </w:t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Pr="006A6AB8">
        <w:rPr>
          <w:b/>
        </w:rPr>
        <w:t xml:space="preserve">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536805" w:rsidRPr="006A6AB8" w:rsidRDefault="00536805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A42F62" w:rsidRDefault="00536805" w:rsidP="003A36E3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 w:rsidR="00721FA7">
        <w:rPr>
          <w:b/>
        </w:rPr>
        <w:t xml:space="preserve"> </w:t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 w:rsidRPr="006A6AB8">
        <w:rPr>
          <w:b/>
        </w:rPr>
        <w:t>Т.М. Ярошенко</w:t>
      </w:r>
      <w:r w:rsidR="00721FA7" w:rsidRPr="006A6AB8">
        <w:t xml:space="preserve"> </w:t>
      </w:r>
    </w:p>
    <w:sectPr w:rsidR="00A42F62" w:rsidSect="001231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31B3"/>
    <w:rsid w:val="000137DE"/>
    <w:rsid w:val="0001461E"/>
    <w:rsid w:val="00014D43"/>
    <w:rsid w:val="00031B59"/>
    <w:rsid w:val="000320C7"/>
    <w:rsid w:val="000368A6"/>
    <w:rsid w:val="00062C2C"/>
    <w:rsid w:val="00064F79"/>
    <w:rsid w:val="00075AE6"/>
    <w:rsid w:val="000A3BAC"/>
    <w:rsid w:val="000D0A50"/>
    <w:rsid w:val="000D0F59"/>
    <w:rsid w:val="000D4148"/>
    <w:rsid w:val="000D5208"/>
    <w:rsid w:val="000E1739"/>
    <w:rsid w:val="000F46DC"/>
    <w:rsid w:val="001004CA"/>
    <w:rsid w:val="00103AB5"/>
    <w:rsid w:val="00103C4A"/>
    <w:rsid w:val="00104E60"/>
    <w:rsid w:val="00116FED"/>
    <w:rsid w:val="0012317B"/>
    <w:rsid w:val="00131F29"/>
    <w:rsid w:val="00141B57"/>
    <w:rsid w:val="00142230"/>
    <w:rsid w:val="00153F5E"/>
    <w:rsid w:val="00165761"/>
    <w:rsid w:val="00172269"/>
    <w:rsid w:val="00187236"/>
    <w:rsid w:val="00195827"/>
    <w:rsid w:val="001A0069"/>
    <w:rsid w:val="0020028B"/>
    <w:rsid w:val="00207E54"/>
    <w:rsid w:val="00223C37"/>
    <w:rsid w:val="00236945"/>
    <w:rsid w:val="00274352"/>
    <w:rsid w:val="002754EA"/>
    <w:rsid w:val="002A0A5E"/>
    <w:rsid w:val="002A2CA5"/>
    <w:rsid w:val="002D6D7E"/>
    <w:rsid w:val="002E3617"/>
    <w:rsid w:val="002F54BC"/>
    <w:rsid w:val="002F5757"/>
    <w:rsid w:val="00304FB8"/>
    <w:rsid w:val="00315C26"/>
    <w:rsid w:val="00317913"/>
    <w:rsid w:val="00322011"/>
    <w:rsid w:val="00330CCC"/>
    <w:rsid w:val="003342D0"/>
    <w:rsid w:val="00342A4B"/>
    <w:rsid w:val="00350228"/>
    <w:rsid w:val="003629DD"/>
    <w:rsid w:val="00370DCD"/>
    <w:rsid w:val="00370FF3"/>
    <w:rsid w:val="003749DD"/>
    <w:rsid w:val="003A109F"/>
    <w:rsid w:val="003A36E3"/>
    <w:rsid w:val="003C691D"/>
    <w:rsid w:val="003E0560"/>
    <w:rsid w:val="003E2419"/>
    <w:rsid w:val="003E3F4B"/>
    <w:rsid w:val="003F13F8"/>
    <w:rsid w:val="003F173A"/>
    <w:rsid w:val="003F6B70"/>
    <w:rsid w:val="0041583A"/>
    <w:rsid w:val="0042137A"/>
    <w:rsid w:val="004234BC"/>
    <w:rsid w:val="0044100C"/>
    <w:rsid w:val="004423B6"/>
    <w:rsid w:val="00444B8A"/>
    <w:rsid w:val="00452B54"/>
    <w:rsid w:val="00452F85"/>
    <w:rsid w:val="004554F8"/>
    <w:rsid w:val="00465025"/>
    <w:rsid w:val="004665B6"/>
    <w:rsid w:val="004706CD"/>
    <w:rsid w:val="0047236B"/>
    <w:rsid w:val="00474B63"/>
    <w:rsid w:val="00475B68"/>
    <w:rsid w:val="00482B72"/>
    <w:rsid w:val="004B760D"/>
    <w:rsid w:val="004D0135"/>
    <w:rsid w:val="004E2FCC"/>
    <w:rsid w:val="004E3B34"/>
    <w:rsid w:val="005003FC"/>
    <w:rsid w:val="00536805"/>
    <w:rsid w:val="005414C6"/>
    <w:rsid w:val="00543553"/>
    <w:rsid w:val="00592B04"/>
    <w:rsid w:val="00595FFB"/>
    <w:rsid w:val="005B517C"/>
    <w:rsid w:val="005C27C3"/>
    <w:rsid w:val="005C2E57"/>
    <w:rsid w:val="005D2B84"/>
    <w:rsid w:val="005E1279"/>
    <w:rsid w:val="005E45E1"/>
    <w:rsid w:val="005F14D5"/>
    <w:rsid w:val="006143C1"/>
    <w:rsid w:val="00646920"/>
    <w:rsid w:val="006A6AB8"/>
    <w:rsid w:val="006B419F"/>
    <w:rsid w:val="006D22CA"/>
    <w:rsid w:val="006E1FF5"/>
    <w:rsid w:val="006E4791"/>
    <w:rsid w:val="006F72F1"/>
    <w:rsid w:val="006F7301"/>
    <w:rsid w:val="007053FE"/>
    <w:rsid w:val="00721FA7"/>
    <w:rsid w:val="00722D6B"/>
    <w:rsid w:val="0072655D"/>
    <w:rsid w:val="00737777"/>
    <w:rsid w:val="00744FD5"/>
    <w:rsid w:val="00750F89"/>
    <w:rsid w:val="00754B79"/>
    <w:rsid w:val="00786B72"/>
    <w:rsid w:val="007958E1"/>
    <w:rsid w:val="007A5CDA"/>
    <w:rsid w:val="007A5EF3"/>
    <w:rsid w:val="007B1BBF"/>
    <w:rsid w:val="007D20FC"/>
    <w:rsid w:val="007D3093"/>
    <w:rsid w:val="007E67F4"/>
    <w:rsid w:val="008027C1"/>
    <w:rsid w:val="00807C2A"/>
    <w:rsid w:val="00817372"/>
    <w:rsid w:val="00820E2A"/>
    <w:rsid w:val="0082698D"/>
    <w:rsid w:val="00830D3A"/>
    <w:rsid w:val="00846688"/>
    <w:rsid w:val="00854842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1BFA"/>
    <w:rsid w:val="00916CD3"/>
    <w:rsid w:val="009215E1"/>
    <w:rsid w:val="009564A3"/>
    <w:rsid w:val="00960C66"/>
    <w:rsid w:val="00961659"/>
    <w:rsid w:val="009847DA"/>
    <w:rsid w:val="009B73F4"/>
    <w:rsid w:val="009C2054"/>
    <w:rsid w:val="009D018A"/>
    <w:rsid w:val="009D4260"/>
    <w:rsid w:val="00A324B1"/>
    <w:rsid w:val="00A42F62"/>
    <w:rsid w:val="00A550B1"/>
    <w:rsid w:val="00A57421"/>
    <w:rsid w:val="00A71E26"/>
    <w:rsid w:val="00A72214"/>
    <w:rsid w:val="00A93A74"/>
    <w:rsid w:val="00A95853"/>
    <w:rsid w:val="00AB0130"/>
    <w:rsid w:val="00AC3719"/>
    <w:rsid w:val="00AC3CF8"/>
    <w:rsid w:val="00AD31EB"/>
    <w:rsid w:val="00AD4A27"/>
    <w:rsid w:val="00AD6D74"/>
    <w:rsid w:val="00AE45DC"/>
    <w:rsid w:val="00B21B5A"/>
    <w:rsid w:val="00B35046"/>
    <w:rsid w:val="00B41BFF"/>
    <w:rsid w:val="00B4437E"/>
    <w:rsid w:val="00B4515A"/>
    <w:rsid w:val="00B5126C"/>
    <w:rsid w:val="00B616C8"/>
    <w:rsid w:val="00B62FF9"/>
    <w:rsid w:val="00B93C42"/>
    <w:rsid w:val="00BD373E"/>
    <w:rsid w:val="00BE1CA0"/>
    <w:rsid w:val="00BE34E8"/>
    <w:rsid w:val="00BE4AD0"/>
    <w:rsid w:val="00BF5C27"/>
    <w:rsid w:val="00BF7A0B"/>
    <w:rsid w:val="00C04093"/>
    <w:rsid w:val="00C3732F"/>
    <w:rsid w:val="00C65D94"/>
    <w:rsid w:val="00C80EAF"/>
    <w:rsid w:val="00CB2292"/>
    <w:rsid w:val="00CF0643"/>
    <w:rsid w:val="00CF1024"/>
    <w:rsid w:val="00CF2E92"/>
    <w:rsid w:val="00D0129B"/>
    <w:rsid w:val="00D155BD"/>
    <w:rsid w:val="00D40E24"/>
    <w:rsid w:val="00D51CD8"/>
    <w:rsid w:val="00D55883"/>
    <w:rsid w:val="00D61AEC"/>
    <w:rsid w:val="00D72D51"/>
    <w:rsid w:val="00D7756D"/>
    <w:rsid w:val="00DB2D94"/>
    <w:rsid w:val="00DB334A"/>
    <w:rsid w:val="00DC094F"/>
    <w:rsid w:val="00DC240B"/>
    <w:rsid w:val="00DC3023"/>
    <w:rsid w:val="00DD073B"/>
    <w:rsid w:val="00DF7AAD"/>
    <w:rsid w:val="00E0200D"/>
    <w:rsid w:val="00E2522F"/>
    <w:rsid w:val="00E305A8"/>
    <w:rsid w:val="00E40FF4"/>
    <w:rsid w:val="00E910D7"/>
    <w:rsid w:val="00EB0638"/>
    <w:rsid w:val="00EB7A44"/>
    <w:rsid w:val="00EC2C25"/>
    <w:rsid w:val="00EE3DDD"/>
    <w:rsid w:val="00EF4A03"/>
    <w:rsid w:val="00F07075"/>
    <w:rsid w:val="00F11920"/>
    <w:rsid w:val="00F36A8B"/>
    <w:rsid w:val="00F430AA"/>
    <w:rsid w:val="00F45B48"/>
    <w:rsid w:val="00F747CD"/>
    <w:rsid w:val="00F84715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207B1-A917-4E5D-BB57-A089B6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10DB-9B7A-4F1C-9BA6-DF4C53E7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25</cp:revision>
  <cp:lastPrinted>2017-06-30T07:27:00Z</cp:lastPrinted>
  <dcterms:created xsi:type="dcterms:W3CDTF">2017-10-26T12:01:00Z</dcterms:created>
  <dcterms:modified xsi:type="dcterms:W3CDTF">2017-10-30T06:49:00Z</dcterms:modified>
</cp:coreProperties>
</file>