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58" w:rsidRPr="004234BC" w:rsidRDefault="00E527ED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4D1058" w:rsidRPr="004234BC" w:rsidRDefault="004D1058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D1058" w:rsidRPr="00722D6B" w:rsidRDefault="004D1058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D1058" w:rsidRPr="004234BC" w:rsidRDefault="004D1058" w:rsidP="00722D6B">
      <w:pPr>
        <w:spacing w:line="276" w:lineRule="auto"/>
        <w:rPr>
          <w:sz w:val="16"/>
          <w:szCs w:val="16"/>
          <w:lang w:eastAsia="uk-UA"/>
        </w:rPr>
      </w:pPr>
    </w:p>
    <w:p w:rsidR="004D1058" w:rsidRPr="004234BC" w:rsidRDefault="004D1058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D1058" w:rsidRPr="004234BC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4D1058" w:rsidRPr="007B0E71">
        <w:tc>
          <w:tcPr>
            <w:tcW w:w="3510" w:type="dxa"/>
          </w:tcPr>
          <w:p w:rsidR="004D1058" w:rsidRPr="007B0E71" w:rsidRDefault="004D1CB9" w:rsidP="004D1CB9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08</w:t>
            </w:r>
            <w:r w:rsidR="004D1058" w:rsidRPr="007B0E71">
              <w:rPr>
                <w:b/>
                <w:bCs/>
                <w:lang w:eastAsia="uk-UA"/>
              </w:rPr>
              <w:t>.</w:t>
            </w:r>
            <w:r w:rsidR="003E73C3" w:rsidRPr="007B0E71">
              <w:rPr>
                <w:b/>
                <w:bCs/>
                <w:lang w:eastAsia="uk-UA"/>
              </w:rPr>
              <w:t>1</w:t>
            </w:r>
            <w:r>
              <w:rPr>
                <w:b/>
                <w:bCs/>
                <w:lang w:eastAsia="uk-UA"/>
              </w:rPr>
              <w:t>2</w:t>
            </w:r>
            <w:r w:rsidR="004D1058" w:rsidRPr="007B0E71">
              <w:rPr>
                <w:b/>
                <w:bCs/>
                <w:lang w:eastAsia="uk-UA"/>
              </w:rPr>
              <w:t>.201</w:t>
            </w:r>
            <w:r w:rsidR="004D1058" w:rsidRPr="007B0E71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4D1058" w:rsidRPr="0004231B" w:rsidRDefault="004D1058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4231B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4D1058" w:rsidRPr="007B0E71" w:rsidRDefault="004D1058" w:rsidP="00E527ED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7B0E71">
              <w:rPr>
                <w:b/>
                <w:bCs/>
                <w:lang w:eastAsia="uk-UA"/>
              </w:rPr>
              <w:t xml:space="preserve">№ </w:t>
            </w:r>
            <w:r w:rsidR="007B0E71" w:rsidRPr="00E527ED">
              <w:rPr>
                <w:b/>
                <w:bCs/>
                <w:lang w:eastAsia="uk-UA"/>
              </w:rPr>
              <w:t>1</w:t>
            </w:r>
            <w:r w:rsidR="00E527ED" w:rsidRPr="00E527ED">
              <w:rPr>
                <w:b/>
                <w:bCs/>
                <w:lang w:eastAsia="uk-UA"/>
              </w:rPr>
              <w:t>52</w:t>
            </w:r>
            <w:r w:rsidRPr="007B0E71">
              <w:rPr>
                <w:b/>
                <w:bCs/>
                <w:lang w:eastAsia="uk-UA"/>
              </w:rPr>
              <w:t>-ОД</w:t>
            </w:r>
          </w:p>
        </w:tc>
      </w:tr>
    </w:tbl>
    <w:p w:rsidR="004D1058" w:rsidRPr="00EC2C25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509"/>
      </w:tblGrid>
      <w:tr w:rsidR="004D1058" w:rsidRPr="00DD073B">
        <w:tc>
          <w:tcPr>
            <w:tcW w:w="6345" w:type="dxa"/>
          </w:tcPr>
          <w:p w:rsidR="004D1058" w:rsidRPr="007E67F4" w:rsidRDefault="004D1058" w:rsidP="005F3E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затвердження в новій редакції паспорта бюджетної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Pr="007E67F4">
              <w:rPr>
                <w:b/>
                <w:bCs/>
              </w:rPr>
              <w:t>0312140</w:t>
            </w:r>
          </w:p>
        </w:tc>
        <w:tc>
          <w:tcPr>
            <w:tcW w:w="3509" w:type="dxa"/>
          </w:tcPr>
          <w:p w:rsidR="004D1058" w:rsidRPr="00DD073B" w:rsidRDefault="004D1058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D1058" w:rsidRPr="00103C4A" w:rsidRDefault="004D1058" w:rsidP="00722D6B">
      <w:pPr>
        <w:spacing w:line="276" w:lineRule="auto"/>
        <w:rPr>
          <w:sz w:val="16"/>
          <w:szCs w:val="16"/>
        </w:rPr>
      </w:pPr>
    </w:p>
    <w:p w:rsidR="004D1058" w:rsidRPr="002D6D7E" w:rsidRDefault="004D1058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</w:t>
      </w:r>
      <w:r w:rsidR="007B0E71">
        <w:rPr>
          <w:color w:val="000000"/>
        </w:rPr>
        <w:t>оку</w:t>
      </w:r>
      <w:r w:rsidRPr="002D6D7E">
        <w:rPr>
          <w:color w:val="000000"/>
        </w:rPr>
        <w:t xml:space="preserve"> за </w:t>
      </w:r>
      <w:r w:rsidR="001C5A44">
        <w:rPr>
          <w:color w:val="000000"/>
        </w:rPr>
        <w:t xml:space="preserve">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1C5A44"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92544">
        <w:t xml:space="preserve"> (</w:t>
      </w:r>
      <w:r w:rsidRPr="00036B40">
        <w:t>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 w:rsidR="00A92544">
        <w:t>), у зв</w:t>
      </w:r>
      <w:r w:rsidR="00A92544" w:rsidRPr="00036B40">
        <w:t>’язку з</w:t>
      </w:r>
      <w:r w:rsidR="00A92544">
        <w:t>і</w:t>
      </w:r>
      <w:r w:rsidR="00A92544" w:rsidRPr="00036B40">
        <w:t xml:space="preserve"> зм</w:t>
      </w:r>
      <w:r w:rsidR="00A92544">
        <w:t>і</w:t>
      </w:r>
      <w:r w:rsidR="00A92544" w:rsidRPr="00036B40">
        <w:t>нами</w:t>
      </w:r>
      <w:r w:rsidR="00A92544">
        <w:t xml:space="preserve"> по </w:t>
      </w:r>
      <w:r w:rsidR="004D1CB9">
        <w:t xml:space="preserve">загальному та </w:t>
      </w:r>
      <w:r w:rsidR="003E73C3">
        <w:t>спеціальном</w:t>
      </w:r>
      <w:r w:rsidR="00B732A2">
        <w:t xml:space="preserve">у </w:t>
      </w:r>
      <w:r w:rsidR="00A92544">
        <w:t>ф</w:t>
      </w:r>
      <w:r w:rsidR="004D1CB9">
        <w:t>ондах</w:t>
      </w:r>
      <w:r w:rsidR="00A92544">
        <w:t xml:space="preserve"> кошторису</w:t>
      </w:r>
      <w:r w:rsidRPr="002D6D7E">
        <w:rPr>
          <w:color w:val="000000"/>
        </w:rPr>
        <w:t>:</w:t>
      </w:r>
    </w:p>
    <w:p w:rsidR="004D1058" w:rsidRPr="00E40FF4" w:rsidRDefault="004D1058" w:rsidP="00722D6B">
      <w:pPr>
        <w:spacing w:line="276" w:lineRule="auto"/>
        <w:rPr>
          <w:color w:val="000000"/>
          <w:sz w:val="16"/>
          <w:szCs w:val="16"/>
        </w:rPr>
      </w:pPr>
    </w:p>
    <w:p w:rsidR="004D1058" w:rsidRPr="00B4515A" w:rsidRDefault="004D1058" w:rsidP="005F3E39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5F3E39">
        <w:rPr>
          <w:color w:val="000000"/>
        </w:rPr>
        <w:t>Затвердити в новій редакції</w:t>
      </w:r>
      <w:r w:rsidR="001C5A44">
        <w:rPr>
          <w:color w:val="000000"/>
        </w:rPr>
        <w:t xml:space="preserve"> </w:t>
      </w:r>
      <w:r w:rsidRPr="005F3E39">
        <w:rPr>
          <w:color w:val="000000"/>
        </w:rPr>
        <w:t>паспорт бюджетної програми</w:t>
      </w:r>
      <w:r w:rsidR="001C5A44">
        <w:rPr>
          <w:color w:val="000000"/>
        </w:rPr>
        <w:t xml:space="preserve"> </w:t>
      </w:r>
      <w:r w:rsidRPr="005F3E39">
        <w:rPr>
          <w:color w:val="000000"/>
        </w:rPr>
        <w:t>Виконавчого комітету Роменської міської ради на 2017 рік</w:t>
      </w:r>
      <w:r>
        <w:rPr>
          <w:color w:val="000000"/>
        </w:rPr>
        <w:t xml:space="preserve"> за </w:t>
      </w:r>
      <w:r w:rsidRPr="005F3E39">
        <w:rPr>
          <w:color w:val="000000"/>
        </w:rPr>
        <w:t>КПКВК</w:t>
      </w:r>
      <w:r w:rsidR="001C5A44">
        <w:rPr>
          <w:color w:val="000000"/>
        </w:rPr>
        <w:t xml:space="preserve"> </w:t>
      </w:r>
      <w:r w:rsidRPr="00B4515A">
        <w:t>031</w:t>
      </w:r>
      <w:r>
        <w:t>2140 «</w:t>
      </w:r>
      <w:r w:rsidRPr="00B4515A">
        <w:t>Надання стоматологічної допомоги населенню</w:t>
      </w:r>
      <w:r>
        <w:t>», який було затверджено розп</w:t>
      </w:r>
      <w:r w:rsidR="003E73C3">
        <w:t xml:space="preserve">орядженням міського голови від </w:t>
      </w:r>
      <w:r w:rsidR="004D1CB9">
        <w:t>11</w:t>
      </w:r>
      <w:r>
        <w:t>.</w:t>
      </w:r>
      <w:r w:rsidR="004D1CB9">
        <w:t>1</w:t>
      </w:r>
      <w:r>
        <w:t>0</w:t>
      </w:r>
      <w:r w:rsidR="003E73C3">
        <w:t>.2017              № 1</w:t>
      </w:r>
      <w:r w:rsidR="004D1CB9">
        <w:t>2</w:t>
      </w:r>
      <w:r w:rsidR="003E73C3">
        <w:t>0</w:t>
      </w:r>
      <w:r>
        <w:t>-ОД.</w:t>
      </w:r>
    </w:p>
    <w:p w:rsidR="004D1058" w:rsidRPr="00750F89" w:rsidRDefault="004D1058" w:rsidP="005F3E39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4D1058" w:rsidRDefault="004D1058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Це розпорядження набирає чинності одночасно із затвердженням фінансовим управлінням паспорта</w:t>
      </w:r>
      <w:r w:rsidR="001C5A44">
        <w:rPr>
          <w:color w:val="000000"/>
        </w:rPr>
        <w:t xml:space="preserve"> </w:t>
      </w:r>
      <w:r w:rsidRPr="00851EEE">
        <w:rPr>
          <w:color w:val="000000"/>
        </w:rPr>
        <w:t>вищевказаної бюджетної програми</w:t>
      </w:r>
      <w:r w:rsidR="001C5A44">
        <w:rPr>
          <w:color w:val="000000"/>
        </w:rPr>
        <w:t xml:space="preserve"> </w:t>
      </w:r>
      <w:r w:rsidRPr="00851EEE">
        <w:rPr>
          <w:color w:val="000000"/>
        </w:rPr>
        <w:t xml:space="preserve">в новій редакції. </w:t>
      </w:r>
    </w:p>
    <w:p w:rsidR="004D1058" w:rsidRDefault="004D1058" w:rsidP="00851EEE">
      <w:pPr>
        <w:pStyle w:val="af1"/>
        <w:rPr>
          <w:color w:val="000000"/>
        </w:rPr>
      </w:pPr>
    </w:p>
    <w:p w:rsidR="004D1058" w:rsidRPr="00851EEE" w:rsidRDefault="004D1058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4D1058" w:rsidRDefault="00E527ED" w:rsidP="00722D6B">
      <w:pPr>
        <w:spacing w:line="276" w:lineRule="auto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Т.в.о</w:t>
      </w:r>
      <w:proofErr w:type="spellEnd"/>
      <w:r>
        <w:rPr>
          <w:b/>
          <w:bCs/>
          <w:color w:val="000000"/>
        </w:rPr>
        <w:t xml:space="preserve">. міського голови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І.В. </w:t>
      </w:r>
      <w:proofErr w:type="spellStart"/>
      <w:r>
        <w:rPr>
          <w:b/>
          <w:bCs/>
          <w:color w:val="000000"/>
        </w:rPr>
        <w:t>Тетірко</w:t>
      </w:r>
      <w:proofErr w:type="spellEnd"/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  <w:sectPr w:rsidR="004D1058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1058" w:rsidRPr="00961659" w:rsidRDefault="004D1058" w:rsidP="00BB75B4">
      <w:pPr>
        <w:spacing w:line="276" w:lineRule="auto"/>
        <w:ind w:left="10632" w:right="24"/>
        <w:jc w:val="both"/>
        <w:rPr>
          <w:b/>
          <w:bCs/>
        </w:rPr>
      </w:pPr>
      <w:r w:rsidRPr="00961659">
        <w:rPr>
          <w:b/>
          <w:bCs/>
        </w:rPr>
        <w:lastRenderedPageBreak/>
        <w:t>Додаток</w:t>
      </w:r>
    </w:p>
    <w:p w:rsidR="004D1058" w:rsidRPr="00961659" w:rsidRDefault="004D1058" w:rsidP="00BB75B4">
      <w:pPr>
        <w:spacing w:line="276" w:lineRule="auto"/>
        <w:ind w:left="10632"/>
        <w:jc w:val="both"/>
        <w:rPr>
          <w:b/>
          <w:bCs/>
        </w:rPr>
      </w:pPr>
      <w:r w:rsidRPr="00961659">
        <w:rPr>
          <w:b/>
          <w:bCs/>
        </w:rPr>
        <w:t>до розпорядження міського голови</w:t>
      </w:r>
    </w:p>
    <w:p w:rsidR="004D1058" w:rsidRPr="00961659" w:rsidRDefault="00BB7A78" w:rsidP="00BB75B4">
      <w:pPr>
        <w:spacing w:line="276" w:lineRule="auto"/>
        <w:ind w:left="10632"/>
        <w:jc w:val="both"/>
        <w:rPr>
          <w:b/>
          <w:bCs/>
        </w:rPr>
      </w:pPr>
      <w:r>
        <w:rPr>
          <w:b/>
          <w:bCs/>
        </w:rPr>
        <w:t>08</w:t>
      </w:r>
      <w:r w:rsidR="004D1058" w:rsidRPr="007B0E71">
        <w:rPr>
          <w:b/>
          <w:bCs/>
        </w:rPr>
        <w:t>.</w:t>
      </w:r>
      <w:r w:rsidR="00A12B2D" w:rsidRPr="007B0E71">
        <w:rPr>
          <w:b/>
          <w:bCs/>
        </w:rPr>
        <w:t>1</w:t>
      </w:r>
      <w:r>
        <w:rPr>
          <w:b/>
          <w:bCs/>
        </w:rPr>
        <w:t>2</w:t>
      </w:r>
      <w:r w:rsidR="004D1058" w:rsidRPr="007B0E71">
        <w:rPr>
          <w:b/>
          <w:bCs/>
        </w:rPr>
        <w:t xml:space="preserve">.2017 </w:t>
      </w:r>
      <w:r w:rsidR="006D75C2" w:rsidRPr="007B0E71">
        <w:rPr>
          <w:b/>
          <w:bCs/>
        </w:rPr>
        <w:t xml:space="preserve">№ </w:t>
      </w:r>
      <w:r w:rsidR="007B0E71" w:rsidRPr="00E527ED">
        <w:rPr>
          <w:b/>
          <w:bCs/>
        </w:rPr>
        <w:t>1</w:t>
      </w:r>
      <w:r w:rsidR="00E527ED" w:rsidRPr="00E527ED">
        <w:rPr>
          <w:b/>
          <w:bCs/>
        </w:rPr>
        <w:t>52</w:t>
      </w:r>
      <w:r w:rsidR="004D1058" w:rsidRPr="00E527ED">
        <w:rPr>
          <w:b/>
          <w:bCs/>
        </w:rPr>
        <w:t>-</w:t>
      </w:r>
      <w:r w:rsidR="004D1058" w:rsidRPr="007B0E71">
        <w:rPr>
          <w:b/>
          <w:bCs/>
        </w:rPr>
        <w:t>ОД</w:t>
      </w:r>
    </w:p>
    <w:p w:rsidR="004D1058" w:rsidRPr="00961659" w:rsidRDefault="004D1058" w:rsidP="00BB75B4">
      <w:pPr>
        <w:spacing w:line="276" w:lineRule="auto"/>
        <w:ind w:left="8505"/>
        <w:rPr>
          <w:caps/>
          <w:sz w:val="16"/>
          <w:szCs w:val="16"/>
        </w:rPr>
      </w:pPr>
    </w:p>
    <w:p w:rsidR="004D1058" w:rsidRPr="005008FC" w:rsidRDefault="004D1058" w:rsidP="00BB75B4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Наказ Міністерствафінансів України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26.08.2014  № 836</w:t>
      </w:r>
    </w:p>
    <w:p w:rsidR="004D1058" w:rsidRPr="00961659" w:rsidRDefault="004D1058" w:rsidP="00BB75B4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BB7A78" w:rsidRDefault="00BB7A78" w:rsidP="00BB7A78">
      <w:pPr>
        <w:tabs>
          <w:tab w:val="left" w:pos="8364"/>
        </w:tabs>
        <w:spacing w:line="276" w:lineRule="auto"/>
        <w:ind w:left="8222"/>
      </w:pPr>
      <w:r w:rsidRPr="007B0E71">
        <w:t>11.10.2017  № 120-ОД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BB7A78">
        <w:t xml:space="preserve">11.10.2017  </w:t>
      </w:r>
      <w:r w:rsidR="00BB7A78" w:rsidRPr="007B0E71">
        <w:t xml:space="preserve">№ </w:t>
      </w:r>
      <w:r w:rsidR="00BB7A78">
        <w:t>69-ОД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4D1058" w:rsidRDefault="00BB7A78" w:rsidP="00BB75B4">
      <w:pPr>
        <w:tabs>
          <w:tab w:val="left" w:pos="8364"/>
        </w:tabs>
        <w:spacing w:line="276" w:lineRule="auto"/>
        <w:ind w:left="8222"/>
      </w:pPr>
      <w:r>
        <w:t>08</w:t>
      </w:r>
      <w:r w:rsidR="004D1058" w:rsidRPr="007B0E71">
        <w:t>.</w:t>
      </w:r>
      <w:r w:rsidR="002C61DF" w:rsidRPr="007B0E71">
        <w:t>1</w:t>
      </w:r>
      <w:r>
        <w:t>2</w:t>
      </w:r>
      <w:r w:rsidR="004D1058" w:rsidRPr="007B0E71">
        <w:t xml:space="preserve">.2017  </w:t>
      </w:r>
      <w:r w:rsidR="004D1058" w:rsidRPr="00E527ED">
        <w:t xml:space="preserve">№ </w:t>
      </w:r>
      <w:r w:rsidR="007B0E71" w:rsidRPr="00E527ED">
        <w:t>1</w:t>
      </w:r>
      <w:r w:rsidR="00E527ED" w:rsidRPr="00E527ED">
        <w:t>52</w:t>
      </w:r>
      <w:r w:rsidR="006D75C2" w:rsidRPr="007B0E71">
        <w:t>-</w:t>
      </w:r>
      <w:r w:rsidR="00E67DBA" w:rsidRPr="007B0E71">
        <w:t>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4D1058" w:rsidRPr="005008FC" w:rsidRDefault="00E527ED" w:rsidP="00BB75B4">
      <w:pPr>
        <w:tabs>
          <w:tab w:val="left" w:pos="8364"/>
        </w:tabs>
        <w:spacing w:line="276" w:lineRule="auto"/>
        <w:ind w:left="8222"/>
      </w:pPr>
      <w:r>
        <w:t>______________</w:t>
      </w:r>
      <w:r w:rsidR="00966653">
        <w:t xml:space="preserve"> </w:t>
      </w:r>
      <w:r w:rsidR="004D1058" w:rsidRPr="007B0E71">
        <w:t xml:space="preserve">№ </w:t>
      </w:r>
      <w:r>
        <w:t>_________</w:t>
      </w:r>
      <w:r w:rsidR="00966653">
        <w:t xml:space="preserve"> </w:t>
      </w:r>
      <w:r w:rsidR="004D1058" w:rsidRPr="007B0E71">
        <w:t>)</w:t>
      </w:r>
    </w:p>
    <w:p w:rsidR="004D1058" w:rsidRPr="005008FC" w:rsidRDefault="004D1058" w:rsidP="006A6AB8">
      <w:pPr>
        <w:tabs>
          <w:tab w:val="left" w:pos="8364"/>
        </w:tabs>
        <w:ind w:left="8222"/>
      </w:pPr>
      <w:r w:rsidRPr="005008FC">
        <w:br/>
      </w:r>
    </w:p>
    <w:p w:rsidR="004D1058" w:rsidRPr="005008FC" w:rsidRDefault="004D1058" w:rsidP="00BB75B4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4D1058" w:rsidRPr="0004574E" w:rsidRDefault="004D1058" w:rsidP="00BB75B4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>
        <w:rPr>
          <w:b/>
          <w:bCs/>
        </w:rPr>
        <w:t>в новій редакції</w:t>
      </w:r>
    </w:p>
    <w:p w:rsidR="004D1058" w:rsidRPr="0004574E" w:rsidRDefault="004D1058" w:rsidP="00BB75B4">
      <w:pPr>
        <w:spacing w:line="276" w:lineRule="auto"/>
        <w:jc w:val="center"/>
      </w:pPr>
    </w:p>
    <w:p w:rsidR="004D1058" w:rsidRPr="0004574E" w:rsidRDefault="004D1058" w:rsidP="00BB75B4">
      <w:pPr>
        <w:spacing w:line="276" w:lineRule="auto"/>
        <w:ind w:firstLine="362"/>
      </w:pPr>
      <w:r w:rsidRPr="0004574E">
        <w:t xml:space="preserve">1.    </w:t>
      </w:r>
      <w:r w:rsidRPr="0004574E">
        <w:rPr>
          <w:u w:val="single"/>
        </w:rPr>
        <w:t>0300000</w:t>
      </w:r>
      <w:r w:rsidR="001C5A44">
        <w:rPr>
          <w:u w:val="single"/>
        </w:rPr>
        <w:t xml:space="preserve">    </w:t>
      </w:r>
      <w:r w:rsidRPr="0004574E">
        <w:rPr>
          <w:u w:val="single"/>
        </w:rPr>
        <w:t xml:space="preserve"> </w:t>
      </w:r>
      <w:r w:rsidR="001C5A44">
        <w:rPr>
          <w:u w:val="single"/>
        </w:rPr>
        <w:t xml:space="preserve">             </w:t>
      </w:r>
      <w:r w:rsidRPr="0004574E">
        <w:rPr>
          <w:u w:val="single"/>
        </w:rPr>
        <w:t>Виконавчий комітет Роменської міської ради</w:t>
      </w:r>
      <w:r w:rsidRPr="00373648">
        <w:t>____________</w:t>
      </w:r>
    </w:p>
    <w:p w:rsidR="004D1058" w:rsidRPr="0004574E" w:rsidRDefault="004D1058" w:rsidP="00BB75B4">
      <w:pPr>
        <w:spacing w:line="276" w:lineRule="auto"/>
        <w:ind w:firstLine="362"/>
      </w:pPr>
      <w:r w:rsidRPr="0004574E">
        <w:t xml:space="preserve">     (КПКВК МБ)             (найменування головного розпорядника) </w:t>
      </w:r>
    </w:p>
    <w:p w:rsidR="004D1058" w:rsidRPr="0004574E" w:rsidRDefault="004D1058" w:rsidP="00BB75B4">
      <w:pPr>
        <w:spacing w:before="120" w:line="276" w:lineRule="auto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 w:rsidR="001C5A44">
        <w:rPr>
          <w:u w:val="single"/>
        </w:rPr>
        <w:t xml:space="preserve">         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>
        <w:t>___</w:t>
      </w:r>
      <w:r w:rsidRPr="0004574E">
        <w:t xml:space="preserve">_________ </w:t>
      </w:r>
      <w:r w:rsidRPr="0004574E">
        <w:br/>
        <w:t xml:space="preserve">            (КПКВК МБ)      (найменування відповідального виконавця) </w:t>
      </w:r>
    </w:p>
    <w:p w:rsidR="004D1058" w:rsidRDefault="004D1058" w:rsidP="00BB75B4">
      <w:pPr>
        <w:spacing w:before="120" w:line="276" w:lineRule="auto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 w:rsidR="001C5A44">
        <w:rPr>
          <w:u w:val="single"/>
        </w:rPr>
        <w:t xml:space="preserve">           </w:t>
      </w:r>
      <w:r w:rsidRPr="0004574E">
        <w:rPr>
          <w:u w:val="single"/>
        </w:rPr>
        <w:t>0722</w:t>
      </w:r>
      <w:r w:rsidR="001C5A44">
        <w:rPr>
          <w:u w:val="single"/>
        </w:rPr>
        <w:t xml:space="preserve">      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="001C5A44">
        <w:rPr>
          <w:vertAlign w:val="superscript"/>
        </w:rPr>
        <w:t xml:space="preserve">     </w:t>
      </w:r>
      <w:r w:rsidRPr="0004574E">
        <w:t xml:space="preserve">(найменування бюджетної програми) </w:t>
      </w:r>
    </w:p>
    <w:p w:rsidR="00176618" w:rsidRDefault="00176618" w:rsidP="00BB75B4">
      <w:pPr>
        <w:spacing w:before="120" w:line="276" w:lineRule="auto"/>
        <w:ind w:firstLine="363"/>
      </w:pPr>
    </w:p>
    <w:p w:rsidR="00176618" w:rsidRDefault="00176618" w:rsidP="00176618">
      <w:pPr>
        <w:spacing w:after="120"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Default="004D1058" w:rsidP="00176618">
      <w:pPr>
        <w:spacing w:after="120" w:line="276" w:lineRule="auto"/>
        <w:ind w:firstLine="426"/>
        <w:jc w:val="both"/>
      </w:pPr>
      <w:r w:rsidRPr="0004574E">
        <w:t xml:space="preserve">4. Обсяг бюджетних призначень/бюджетних асигнувань – </w:t>
      </w:r>
      <w:r w:rsidR="00BB7A78">
        <w:t>8063,8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 w:rsidR="00E527ED">
        <w:rPr>
          <w:lang w:val="ru-RU"/>
        </w:rPr>
        <w:t xml:space="preserve"> </w:t>
      </w:r>
      <w:r>
        <w:t>3</w:t>
      </w:r>
      <w:r w:rsidR="00BB7A78">
        <w:t> 486,5</w:t>
      </w:r>
      <w:r w:rsidRPr="0004574E">
        <w:t xml:space="preserve"> тис. гривень та спеціального фонду – </w:t>
      </w:r>
      <w:r w:rsidR="00BB7A78">
        <w:t>4577,3</w:t>
      </w:r>
      <w:r w:rsidRPr="0004574E">
        <w:t xml:space="preserve"> тис. гривень. </w:t>
      </w:r>
    </w:p>
    <w:p w:rsidR="004D1058" w:rsidRDefault="004D1058" w:rsidP="00176618">
      <w:pPr>
        <w:spacing w:line="276" w:lineRule="auto"/>
        <w:ind w:firstLine="426"/>
        <w:jc w:val="both"/>
      </w:pPr>
      <w:r w:rsidRPr="0004574E">
        <w:t>5. Підстави для виконання бюджетної програми: Конституція України; Бюджетний кодекс України від 08.07.2010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 w:rsidR="00176618"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 w:rsidR="00176618">
        <w:t xml:space="preserve"> 283/437; р</w:t>
      </w:r>
      <w:r w:rsidRPr="0004574E">
        <w:t xml:space="preserve">ішення міської ради </w:t>
      </w:r>
      <w:r w:rsidR="00176618" w:rsidRPr="0004574E">
        <w:t>від 22.12.2016</w:t>
      </w:r>
      <w:r w:rsidRPr="0004574E">
        <w:t xml:space="preserve">«Про Міський бюджет міста Ромни на 2017 рік».; </w:t>
      </w:r>
      <w:r w:rsidR="00176618">
        <w:t>н</w:t>
      </w:r>
      <w:r w:rsidRPr="0004574E">
        <w:t xml:space="preserve">аказ МФУ «Про деякі питання запровадження програмно-цільового методу складання та виконання місцевих бюджетів» від 26.08.2014 № 836; </w:t>
      </w:r>
      <w:r w:rsidR="00176618">
        <w:t>н</w:t>
      </w:r>
      <w:r w:rsidRPr="0004574E">
        <w:t xml:space="preserve">аказ МОЗ "Про впорядкування умов оплати праці працівників закладів охорони здоров'я та установ соціального захисту населення" від 05.10.2005 №308/519; </w:t>
      </w:r>
      <w:r w:rsidR="00176618">
        <w:t>п</w:t>
      </w:r>
      <w:r w:rsidRPr="0004574E">
        <w:t>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 №1298.</w:t>
      </w:r>
    </w:p>
    <w:p w:rsidR="00176618" w:rsidRPr="00176618" w:rsidRDefault="00176618" w:rsidP="00176618">
      <w:pPr>
        <w:spacing w:line="276" w:lineRule="auto"/>
        <w:ind w:firstLine="426"/>
        <w:jc w:val="both"/>
        <w:rPr>
          <w:sz w:val="16"/>
          <w:szCs w:val="16"/>
        </w:rPr>
      </w:pPr>
    </w:p>
    <w:p w:rsidR="004D1058" w:rsidRPr="0004574E" w:rsidRDefault="004D1058" w:rsidP="00BB75B4">
      <w:pPr>
        <w:spacing w:after="120" w:line="276" w:lineRule="auto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4D1058" w:rsidRPr="0004574E" w:rsidRDefault="004D1058" w:rsidP="00BB75B4">
      <w:pPr>
        <w:spacing w:line="276" w:lineRule="auto"/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4D1058" w:rsidRPr="0004574E" w:rsidRDefault="004D1058" w:rsidP="00BB75B4">
      <w:pPr>
        <w:spacing w:line="276" w:lineRule="auto"/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4D1058" w:rsidRPr="0004574E">
        <w:trPr>
          <w:trHeight w:val="330"/>
        </w:trPr>
        <w:tc>
          <w:tcPr>
            <w:tcW w:w="94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Назва підпрограми</w:t>
            </w:r>
          </w:p>
        </w:tc>
      </w:tr>
      <w:tr w:rsidR="004D1058" w:rsidRPr="0004574E">
        <w:trPr>
          <w:trHeight w:hRule="exact" w:val="340"/>
        </w:trPr>
        <w:tc>
          <w:tcPr>
            <w:tcW w:w="94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D1058" w:rsidRPr="0004574E" w:rsidRDefault="004D1058" w:rsidP="00BB75B4">
      <w:pPr>
        <w:spacing w:line="276" w:lineRule="auto"/>
        <w:ind w:firstLine="363"/>
      </w:pPr>
    </w:p>
    <w:p w:rsidR="004D1058" w:rsidRPr="0004574E" w:rsidRDefault="004D1058" w:rsidP="00BB75B4">
      <w:pPr>
        <w:spacing w:line="276" w:lineRule="auto"/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4D1058" w:rsidRPr="0004574E" w:rsidRDefault="004D1058" w:rsidP="00BB75B4">
      <w:pPr>
        <w:spacing w:line="276" w:lineRule="auto"/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4D1058" w:rsidRPr="0004574E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7</w:t>
            </w:r>
          </w:p>
        </w:tc>
      </w:tr>
      <w:tr w:rsidR="004D1058" w:rsidRPr="0004574E" w:rsidTr="00373648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</w:tr>
      <w:tr w:rsidR="004D1058" w:rsidRPr="0004574E" w:rsidTr="00373648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BB7A78" w:rsidP="00BB75B4">
            <w:pPr>
              <w:spacing w:line="276" w:lineRule="auto"/>
              <w:jc w:val="center"/>
            </w:pPr>
            <w:r>
              <w:t>3486,5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BB7A78" w:rsidP="00BB75B4">
            <w:pPr>
              <w:spacing w:line="276" w:lineRule="auto"/>
              <w:jc w:val="center"/>
            </w:pPr>
            <w:r>
              <w:t>4577,3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BB7A78" w:rsidP="00BB75B4">
            <w:pPr>
              <w:spacing w:line="276" w:lineRule="auto"/>
              <w:jc w:val="center"/>
            </w:pPr>
            <w:r>
              <w:t>8063,8</w:t>
            </w:r>
          </w:p>
        </w:tc>
      </w:tr>
    </w:tbl>
    <w:p w:rsidR="004D1058" w:rsidRDefault="004D1058" w:rsidP="00BB75B4">
      <w:pPr>
        <w:spacing w:line="276" w:lineRule="auto"/>
      </w:pPr>
    </w:p>
    <w:p w:rsidR="00176618" w:rsidRDefault="00176618" w:rsidP="00176618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Pr="0004574E" w:rsidRDefault="004D1058" w:rsidP="00176618">
      <w:pPr>
        <w:spacing w:line="276" w:lineRule="auto"/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4D1058" w:rsidRPr="0004574E" w:rsidRDefault="004D1058" w:rsidP="00BB75B4">
      <w:pPr>
        <w:spacing w:before="60" w:line="276" w:lineRule="auto"/>
        <w:ind w:firstLine="9214"/>
        <w:jc w:val="center"/>
      </w:pPr>
      <w:r w:rsidRPr="0004574E">
        <w:t>(тис. грн.)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4D1058" w:rsidRPr="0004574E">
        <w:trPr>
          <w:trHeight w:val="538"/>
        </w:trPr>
        <w:tc>
          <w:tcPr>
            <w:tcW w:w="802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286"/>
        </w:trPr>
        <w:tc>
          <w:tcPr>
            <w:tcW w:w="802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</w:tr>
      <w:tr w:rsidR="004D1058" w:rsidRPr="0004574E">
        <w:trPr>
          <w:trHeight w:val="255"/>
        </w:trPr>
        <w:tc>
          <w:tcPr>
            <w:tcW w:w="8023" w:type="dxa"/>
          </w:tcPr>
          <w:p w:rsidR="004D1058" w:rsidRPr="0004574E" w:rsidRDefault="004D1058" w:rsidP="00BB75B4">
            <w:pPr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0312140</w:t>
            </w:r>
          </w:p>
        </w:tc>
        <w:tc>
          <w:tcPr>
            <w:tcW w:w="1843" w:type="dxa"/>
          </w:tcPr>
          <w:p w:rsidR="004D1058" w:rsidRPr="0004574E" w:rsidRDefault="00F3100E" w:rsidP="00BB75B4">
            <w:pPr>
              <w:spacing w:line="276" w:lineRule="auto"/>
              <w:jc w:val="center"/>
            </w:pPr>
            <w:r>
              <w:t>541,5</w:t>
            </w:r>
          </w:p>
        </w:tc>
        <w:tc>
          <w:tcPr>
            <w:tcW w:w="1701" w:type="dxa"/>
          </w:tcPr>
          <w:p w:rsidR="004D1058" w:rsidRPr="0004574E" w:rsidRDefault="002C61DF" w:rsidP="00F3100E">
            <w:pPr>
              <w:spacing w:line="276" w:lineRule="auto"/>
              <w:jc w:val="center"/>
            </w:pPr>
            <w:r>
              <w:t>14</w:t>
            </w:r>
            <w:r w:rsidR="00F3100E">
              <w:t>59,9</w:t>
            </w:r>
          </w:p>
        </w:tc>
        <w:tc>
          <w:tcPr>
            <w:tcW w:w="1718" w:type="dxa"/>
          </w:tcPr>
          <w:p w:rsidR="004D1058" w:rsidRPr="0004574E" w:rsidRDefault="00F3100E" w:rsidP="00BB75B4">
            <w:pPr>
              <w:spacing w:line="276" w:lineRule="auto"/>
              <w:jc w:val="center"/>
            </w:pPr>
            <w:r>
              <w:t>2001,4</w:t>
            </w:r>
          </w:p>
        </w:tc>
      </w:tr>
    </w:tbl>
    <w:p w:rsidR="004D1058" w:rsidRDefault="004D1058" w:rsidP="00BB75B4">
      <w:pPr>
        <w:spacing w:line="276" w:lineRule="auto"/>
        <w:jc w:val="right"/>
      </w:pPr>
    </w:p>
    <w:p w:rsidR="004D1058" w:rsidRDefault="004D1058" w:rsidP="00BB75B4">
      <w:pPr>
        <w:spacing w:line="276" w:lineRule="auto"/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4D1058" w:rsidRPr="0004574E" w:rsidRDefault="004D1058" w:rsidP="00BB75B4">
      <w:pPr>
        <w:spacing w:line="276" w:lineRule="auto"/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4D1058" w:rsidRPr="0004574E">
        <w:trPr>
          <w:trHeight w:val="615"/>
        </w:trPr>
        <w:tc>
          <w:tcPr>
            <w:tcW w:w="33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№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42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Значення показника</w:t>
            </w:r>
          </w:p>
        </w:tc>
      </w:tr>
      <w:tr w:rsidR="004D1058" w:rsidRPr="0004574E">
        <w:trPr>
          <w:trHeight w:val="189"/>
        </w:trPr>
        <w:tc>
          <w:tcPr>
            <w:tcW w:w="33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4D1058" w:rsidRPr="0004574E" w:rsidTr="003351F7">
        <w:trPr>
          <w:trHeight w:val="40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1.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</w:pPr>
            <w:r>
              <w:t>-</w:t>
            </w:r>
          </w:p>
        </w:tc>
      </w:tr>
      <w:tr w:rsidR="004D1058" w:rsidRPr="0004574E">
        <w:trPr>
          <w:trHeight w:val="325"/>
        </w:trPr>
        <w:tc>
          <w:tcPr>
            <w:tcW w:w="5000" w:type="pct"/>
            <w:gridSpan w:val="6"/>
            <w:vAlign w:val="center"/>
          </w:tcPr>
          <w:p w:rsidR="004D1058" w:rsidRDefault="004D1058" w:rsidP="00176618">
            <w:pPr>
              <w:spacing w:line="276" w:lineRule="auto"/>
              <w:jc w:val="center"/>
            </w:pPr>
            <w:r w:rsidRPr="00B12756">
              <w:t>Показники затрат</w:t>
            </w:r>
          </w:p>
          <w:p w:rsidR="00F3100E" w:rsidRPr="00B12756" w:rsidRDefault="00F3100E" w:rsidP="00176618">
            <w:pPr>
              <w:spacing w:line="276" w:lineRule="auto"/>
              <w:jc w:val="center"/>
            </w:pP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4D1058" w:rsidRPr="00B12756" w:rsidRDefault="003351F7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>
              <w:t>1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2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4D1058" w:rsidRPr="00B12756" w:rsidRDefault="003351F7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120,0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3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</w:tcPr>
          <w:p w:rsidR="004D1058" w:rsidRPr="00B12756" w:rsidRDefault="004D1058" w:rsidP="00F3100E">
            <w:pPr>
              <w:spacing w:line="276" w:lineRule="auto"/>
              <w:jc w:val="both"/>
            </w:pPr>
            <w:r w:rsidRPr="00B12756">
              <w:t xml:space="preserve">тис. </w:t>
            </w:r>
            <w:r w:rsidR="00F3100E">
              <w:t>грн.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532,0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>
              <w:t>Обсяг видатків на придбання стоматологічних установок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>
              <w:t>800,0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Обсяг видатків на придбання кондиціонерів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37,3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 xml:space="preserve">Обсяг видатків на придбання шаф </w:t>
            </w:r>
            <w:proofErr w:type="spellStart"/>
            <w:r>
              <w:t>сухожарових</w:t>
            </w:r>
            <w:proofErr w:type="spellEnd"/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60,0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Обсяг видатків на придбання холодильника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14,8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E527ED">
            <w:pPr>
              <w:spacing w:line="276" w:lineRule="auto"/>
              <w:jc w:val="both"/>
            </w:pPr>
            <w:r>
              <w:t xml:space="preserve">Обсяг видатків на виготовлення та проведення експертизи проектно-кошторисної документації 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15,8</w:t>
            </w:r>
          </w:p>
        </w:tc>
      </w:tr>
    </w:tbl>
    <w:p w:rsidR="00E527ED" w:rsidRDefault="00E527ED">
      <w:pPr>
        <w:rPr>
          <w:b/>
          <w:bCs/>
        </w:rPr>
      </w:pPr>
    </w:p>
    <w:p w:rsidR="00E527ED" w:rsidRDefault="00E527ED" w:rsidP="00E527ED">
      <w:pPr>
        <w:jc w:val="right"/>
        <w:rPr>
          <w:b/>
          <w:bCs/>
        </w:rPr>
      </w:pPr>
      <w:r w:rsidRPr="006A6AB8">
        <w:rPr>
          <w:b/>
          <w:bCs/>
        </w:rPr>
        <w:lastRenderedPageBreak/>
        <w:t>Продовження додатка</w:t>
      </w:r>
    </w:p>
    <w:p w:rsidR="00E527ED" w:rsidRDefault="00E527ED" w:rsidP="00E527ED">
      <w:pPr>
        <w:jc w:val="right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F3100E" w:rsidRPr="0004574E" w:rsidTr="00104558">
        <w:trPr>
          <w:trHeight w:val="255"/>
        </w:trPr>
        <w:tc>
          <w:tcPr>
            <w:tcW w:w="330" w:type="pct"/>
            <w:vAlign w:val="center"/>
          </w:tcPr>
          <w:p w:rsidR="00F3100E" w:rsidRPr="0004574E" w:rsidRDefault="00F3100E" w:rsidP="00A756A7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F3100E" w:rsidRPr="0004574E" w:rsidRDefault="00F3100E" w:rsidP="00A756A7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F3100E" w:rsidRPr="0004574E" w:rsidRDefault="00F3100E" w:rsidP="00A756A7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F3100E" w:rsidRPr="0004574E" w:rsidRDefault="00F3100E" w:rsidP="00A756A7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F3100E" w:rsidRPr="0004574E" w:rsidRDefault="00F3100E" w:rsidP="00A756A7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A756A7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F3100E" w:rsidRPr="0004574E">
        <w:trPr>
          <w:trHeight w:val="255"/>
        </w:trPr>
        <w:tc>
          <w:tcPr>
            <w:tcW w:w="5000" w:type="pct"/>
            <w:gridSpan w:val="6"/>
          </w:tcPr>
          <w:p w:rsidR="00F3100E" w:rsidRPr="00B12756" w:rsidRDefault="00F3100E" w:rsidP="00176618">
            <w:pPr>
              <w:pStyle w:val="af1"/>
              <w:spacing w:line="276" w:lineRule="auto"/>
              <w:ind w:left="0"/>
              <w:jc w:val="center"/>
            </w:pPr>
            <w:r w:rsidRPr="00B12756">
              <w:t>Показники продукту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78677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1133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3</w:t>
            </w:r>
            <w:r>
              <w:t>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079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5313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4</w:t>
            </w:r>
            <w:r>
              <w:t>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1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Кількість стоматологічних установок,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7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Кількість кондиціонерів,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4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 xml:space="preserve">Кількість </w:t>
            </w:r>
            <w:proofErr w:type="spellStart"/>
            <w:r>
              <w:t>сухожарових</w:t>
            </w:r>
            <w:proofErr w:type="spellEnd"/>
            <w:r>
              <w:t xml:space="preserve"> шаф,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2C61DF" w:rsidRDefault="00176618" w:rsidP="00176618">
            <w:pPr>
              <w:spacing w:line="276" w:lineRule="auto"/>
              <w:jc w:val="both"/>
              <w:rPr>
                <w:highlight w:val="yellow"/>
              </w:rPr>
            </w:pPr>
            <w:r w:rsidRPr="00A12B2D">
              <w:t>4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Кількість холодильників,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2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42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Кількість проектно-кошторисної документації, яка буде виготовлена</w:t>
            </w:r>
          </w:p>
        </w:tc>
        <w:tc>
          <w:tcPr>
            <w:tcW w:w="480" w:type="pct"/>
            <w:vAlign w:val="center"/>
          </w:tcPr>
          <w:p w:rsidR="00F3100E" w:rsidRPr="00B12756" w:rsidRDefault="00F3100E" w:rsidP="003E71CC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1</w:t>
            </w:r>
          </w:p>
        </w:tc>
      </w:tr>
      <w:tr w:rsidR="00F3100E" w:rsidRPr="0004574E">
        <w:trPr>
          <w:trHeight w:val="255"/>
        </w:trPr>
        <w:tc>
          <w:tcPr>
            <w:tcW w:w="5000" w:type="pct"/>
            <w:gridSpan w:val="6"/>
          </w:tcPr>
          <w:p w:rsidR="00F3100E" w:rsidRPr="00B12756" w:rsidRDefault="00F3100E" w:rsidP="00176618">
            <w:pPr>
              <w:spacing w:line="276" w:lineRule="auto"/>
              <w:jc w:val="center"/>
            </w:pPr>
            <w:r w:rsidRPr="00B12756">
              <w:t>Показники ефективності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Кількість пролікованих пацієнтів на одного лікаря </w:t>
            </w:r>
            <w:r>
              <w:t>–</w:t>
            </w:r>
            <w:r w:rsidRPr="0004574E">
              <w:t xml:space="preserve"> стоматолога</w:t>
            </w:r>
          </w:p>
        </w:tc>
        <w:tc>
          <w:tcPr>
            <w:tcW w:w="480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О</w:t>
            </w:r>
            <w:r w:rsidRPr="0004574E">
              <w:t>сіб</w:t>
            </w:r>
          </w:p>
        </w:tc>
        <w:tc>
          <w:tcPr>
            <w:tcW w:w="1079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461</w:t>
            </w:r>
          </w:p>
        </w:tc>
      </w:tr>
      <w:tr w:rsidR="00F3100E" w:rsidRPr="0004574E" w:rsidTr="00A3539E">
        <w:trPr>
          <w:trHeight w:val="255"/>
        </w:trPr>
        <w:tc>
          <w:tcPr>
            <w:tcW w:w="330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532,0</w:t>
            </w:r>
          </w:p>
        </w:tc>
      </w:tr>
      <w:tr w:rsidR="00F3100E" w:rsidRPr="0004574E" w:rsidTr="00F958D2">
        <w:trPr>
          <w:trHeight w:val="255"/>
        </w:trPr>
        <w:tc>
          <w:tcPr>
            <w:tcW w:w="330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114,29</w:t>
            </w:r>
          </w:p>
        </w:tc>
      </w:tr>
      <w:tr w:rsidR="00F3100E" w:rsidRPr="0004574E" w:rsidTr="00BA2F38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кондиціонера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9,3</w:t>
            </w:r>
          </w:p>
        </w:tc>
      </w:tr>
      <w:tr w:rsidR="00F3100E" w:rsidRPr="0004574E" w:rsidTr="000B40C2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 xml:space="preserve">шафи </w:t>
            </w:r>
            <w:proofErr w:type="spellStart"/>
            <w:r>
              <w:t>сухожарової</w:t>
            </w:r>
            <w:proofErr w:type="spellEnd"/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15,0</w:t>
            </w:r>
          </w:p>
        </w:tc>
      </w:tr>
      <w:tr w:rsidR="00F3100E" w:rsidRPr="0004574E" w:rsidTr="00BE5EA5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холодильника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7,4</w:t>
            </w:r>
          </w:p>
        </w:tc>
      </w:tr>
      <w:tr w:rsidR="00F3100E" w:rsidRPr="0004574E" w:rsidTr="0066478D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Середні витрати на виготовлення документації</w:t>
            </w:r>
          </w:p>
        </w:tc>
        <w:tc>
          <w:tcPr>
            <w:tcW w:w="480" w:type="pct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3E71CC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15,8</w:t>
            </w:r>
          </w:p>
        </w:tc>
      </w:tr>
    </w:tbl>
    <w:p w:rsidR="00F3100E" w:rsidRDefault="00F3100E" w:rsidP="00BB75B4">
      <w:pPr>
        <w:spacing w:line="276" w:lineRule="auto"/>
        <w:ind w:firstLine="426"/>
      </w:pPr>
    </w:p>
    <w:p w:rsidR="00F3100E" w:rsidRDefault="00F3100E" w:rsidP="00BB75B4">
      <w:pPr>
        <w:spacing w:line="276" w:lineRule="auto"/>
        <w:ind w:firstLine="426"/>
      </w:pPr>
    </w:p>
    <w:p w:rsidR="00F3100E" w:rsidRDefault="00F3100E" w:rsidP="00BB75B4">
      <w:pPr>
        <w:spacing w:line="276" w:lineRule="auto"/>
        <w:ind w:firstLine="426"/>
      </w:pPr>
    </w:p>
    <w:p w:rsidR="00F3100E" w:rsidRDefault="00F3100E" w:rsidP="00F3100E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Pr="0004574E" w:rsidRDefault="004D1058" w:rsidP="00BB75B4">
      <w:pPr>
        <w:spacing w:line="276" w:lineRule="auto"/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4D1058" w:rsidRPr="0004574E" w:rsidRDefault="004D1058" w:rsidP="00BB75B4">
      <w:pPr>
        <w:spacing w:line="276" w:lineRule="auto"/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8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981"/>
        <w:gridCol w:w="1275"/>
        <w:gridCol w:w="852"/>
        <w:gridCol w:w="1548"/>
      </w:tblGrid>
      <w:tr w:rsidR="004D1058" w:rsidRPr="0004574E" w:rsidTr="00EB73BE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</w:t>
            </w:r>
            <w:r w:rsidRPr="00EB73BE">
              <w:rPr>
                <w:snapToGrid w:val="0"/>
              </w:rPr>
              <w:t xml:space="preserve">що </w:t>
            </w:r>
            <w:proofErr w:type="spellStart"/>
            <w:r w:rsidRPr="00EB73BE">
              <w:rPr>
                <w:snapToGrid w:val="0"/>
              </w:rPr>
              <w:t>харак</w:t>
            </w:r>
            <w:r w:rsidR="00EB73BE">
              <w:rPr>
                <w:snapToGrid w:val="0"/>
              </w:rPr>
              <w:t>-</w:t>
            </w:r>
            <w:r w:rsidRPr="00EB73BE">
              <w:rPr>
                <w:snapToGrid w:val="0"/>
              </w:rPr>
              <w:t>теризують</w:t>
            </w:r>
            <w:proofErr w:type="spellEnd"/>
            <w:r w:rsidRPr="00EB73BE">
              <w:rPr>
                <w:snapToGrid w:val="0"/>
              </w:rPr>
              <w:t xml:space="preserve"> джерела фінансування</w:t>
            </w:r>
          </w:p>
        </w:tc>
      </w:tr>
      <w:tr w:rsidR="004D1058" w:rsidRPr="0004574E" w:rsidTr="00EB73BE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EB73BE" w:rsidP="00BB75B4">
            <w:pPr>
              <w:spacing w:line="276" w:lineRule="auto"/>
              <w:jc w:val="center"/>
            </w:pPr>
            <w:proofErr w:type="spellStart"/>
            <w:r>
              <w:t>с</w:t>
            </w:r>
            <w:r w:rsidR="004D1058" w:rsidRPr="0004574E">
              <w:t>пеціал</w:t>
            </w:r>
            <w:r>
              <w:t>ь</w:t>
            </w:r>
            <w:proofErr w:type="spellEnd"/>
            <w:r w:rsidR="004D1058">
              <w:t>-</w:t>
            </w:r>
            <w:r w:rsidR="004D1058" w:rsidRPr="0004574E">
              <w:t>ний фонд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4D1058" w:rsidRDefault="004D1058" w:rsidP="00BB75B4">
      <w:pPr>
        <w:spacing w:before="120" w:line="276" w:lineRule="auto"/>
      </w:pPr>
    </w:p>
    <w:p w:rsidR="00176618" w:rsidRPr="0004574E" w:rsidRDefault="00176618" w:rsidP="00BB75B4">
      <w:pPr>
        <w:spacing w:before="120" w:line="276" w:lineRule="auto"/>
      </w:pPr>
    </w:p>
    <w:p w:rsidR="00E527ED" w:rsidRDefault="00E527ED" w:rsidP="00E527ED">
      <w:pPr>
        <w:spacing w:line="276" w:lineRule="auto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Т.в.о</w:t>
      </w:r>
      <w:proofErr w:type="spellEnd"/>
      <w:r>
        <w:rPr>
          <w:b/>
          <w:bCs/>
          <w:color w:val="000000"/>
        </w:rPr>
        <w:t xml:space="preserve">. міського голови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І.В. </w:t>
      </w:r>
      <w:proofErr w:type="spellStart"/>
      <w:r>
        <w:rPr>
          <w:b/>
          <w:bCs/>
          <w:color w:val="000000"/>
        </w:rPr>
        <w:t>Тетірко</w:t>
      </w:r>
      <w:proofErr w:type="spellEnd"/>
    </w:p>
    <w:p w:rsidR="00E527ED" w:rsidRDefault="00E527ED" w:rsidP="00E527ED">
      <w:pPr>
        <w:jc w:val="both"/>
        <w:rPr>
          <w:b/>
          <w:bCs/>
          <w:color w:val="000000"/>
        </w:rPr>
      </w:pPr>
    </w:p>
    <w:p w:rsidR="004D1058" w:rsidRPr="006A6AB8" w:rsidRDefault="004D1058" w:rsidP="00BB75B4">
      <w:pPr>
        <w:spacing w:line="276" w:lineRule="auto"/>
        <w:rPr>
          <w:b/>
          <w:bCs/>
        </w:rPr>
      </w:pPr>
      <w:r w:rsidRPr="006A6AB8">
        <w:rPr>
          <w:b/>
          <w:bCs/>
        </w:rPr>
        <w:t>Погоджено</w:t>
      </w:r>
    </w:p>
    <w:p w:rsidR="004D1058" w:rsidRDefault="00E527ED" w:rsidP="00BB75B4">
      <w:pPr>
        <w:spacing w:line="276" w:lineRule="auto"/>
        <w:rPr>
          <w:b/>
          <w:bCs/>
        </w:rPr>
      </w:pPr>
      <w:r>
        <w:rPr>
          <w:b/>
          <w:bCs/>
        </w:rPr>
        <w:t>Н</w:t>
      </w:r>
      <w:r w:rsidR="004D1058" w:rsidRPr="006A6AB8">
        <w:rPr>
          <w:b/>
          <w:bCs/>
        </w:rPr>
        <w:t>ачальник фінансового управління</w:t>
      </w:r>
      <w:r w:rsidR="00176618">
        <w:rPr>
          <w:b/>
          <w:bCs/>
        </w:rPr>
        <w:tab/>
      </w:r>
      <w:r w:rsidR="00176618">
        <w:rPr>
          <w:b/>
          <w:bCs/>
        </w:rPr>
        <w:tab/>
      </w:r>
      <w:r w:rsidR="00176618">
        <w:rPr>
          <w:b/>
          <w:bCs/>
        </w:rPr>
        <w:tab/>
      </w:r>
      <w:r w:rsidR="00176618">
        <w:rPr>
          <w:b/>
          <w:bCs/>
        </w:rPr>
        <w:tab/>
      </w:r>
      <w:r>
        <w:rPr>
          <w:b/>
          <w:bCs/>
        </w:rPr>
        <w:t>Т.М. Ярошенко</w:t>
      </w:r>
      <w:bookmarkStart w:id="0" w:name="_GoBack"/>
      <w:bookmarkEnd w:id="0"/>
    </w:p>
    <w:sectPr w:rsidR="004D1058" w:rsidSect="008C40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4231B"/>
    <w:rsid w:val="0004574E"/>
    <w:rsid w:val="00062C2C"/>
    <w:rsid w:val="000954E5"/>
    <w:rsid w:val="000A3BAC"/>
    <w:rsid w:val="000A4307"/>
    <w:rsid w:val="000D0A50"/>
    <w:rsid w:val="000D0F59"/>
    <w:rsid w:val="000D7E15"/>
    <w:rsid w:val="000E1739"/>
    <w:rsid w:val="000F46DC"/>
    <w:rsid w:val="001004CA"/>
    <w:rsid w:val="00103C4A"/>
    <w:rsid w:val="00104E60"/>
    <w:rsid w:val="00116FED"/>
    <w:rsid w:val="00141B57"/>
    <w:rsid w:val="00156378"/>
    <w:rsid w:val="00176618"/>
    <w:rsid w:val="00176EA0"/>
    <w:rsid w:val="00195827"/>
    <w:rsid w:val="001C5A44"/>
    <w:rsid w:val="001D0D26"/>
    <w:rsid w:val="0020028B"/>
    <w:rsid w:val="00207E54"/>
    <w:rsid w:val="00270A5D"/>
    <w:rsid w:val="00274352"/>
    <w:rsid w:val="00283D5A"/>
    <w:rsid w:val="00285C92"/>
    <w:rsid w:val="00296EDB"/>
    <w:rsid w:val="002A0A5E"/>
    <w:rsid w:val="002B1C76"/>
    <w:rsid w:val="002C61DF"/>
    <w:rsid w:val="002D6D7E"/>
    <w:rsid w:val="002E05DE"/>
    <w:rsid w:val="002F5757"/>
    <w:rsid w:val="00304FB8"/>
    <w:rsid w:val="0030587A"/>
    <w:rsid w:val="00315C26"/>
    <w:rsid w:val="00322011"/>
    <w:rsid w:val="00330CCC"/>
    <w:rsid w:val="003351F7"/>
    <w:rsid w:val="00341993"/>
    <w:rsid w:val="003629DD"/>
    <w:rsid w:val="00373648"/>
    <w:rsid w:val="00386485"/>
    <w:rsid w:val="003A109F"/>
    <w:rsid w:val="003C14A6"/>
    <w:rsid w:val="003C691D"/>
    <w:rsid w:val="003E2419"/>
    <w:rsid w:val="003E3F4B"/>
    <w:rsid w:val="003E476C"/>
    <w:rsid w:val="003E7190"/>
    <w:rsid w:val="003E73C3"/>
    <w:rsid w:val="003F173A"/>
    <w:rsid w:val="003F6B70"/>
    <w:rsid w:val="00406F02"/>
    <w:rsid w:val="004234BC"/>
    <w:rsid w:val="0044100C"/>
    <w:rsid w:val="004423B6"/>
    <w:rsid w:val="00452B54"/>
    <w:rsid w:val="004665B6"/>
    <w:rsid w:val="00482B72"/>
    <w:rsid w:val="004B760D"/>
    <w:rsid w:val="004C036E"/>
    <w:rsid w:val="004D1058"/>
    <w:rsid w:val="004D1CB9"/>
    <w:rsid w:val="005008FC"/>
    <w:rsid w:val="00524CA9"/>
    <w:rsid w:val="005C27C3"/>
    <w:rsid w:val="005C2E57"/>
    <w:rsid w:val="005C3CDB"/>
    <w:rsid w:val="005D2B84"/>
    <w:rsid w:val="005E1279"/>
    <w:rsid w:val="005E6890"/>
    <w:rsid w:val="005F14D5"/>
    <w:rsid w:val="005F3E39"/>
    <w:rsid w:val="00646920"/>
    <w:rsid w:val="00686B23"/>
    <w:rsid w:val="006960A2"/>
    <w:rsid w:val="006A6AB8"/>
    <w:rsid w:val="006B419F"/>
    <w:rsid w:val="006B5F3C"/>
    <w:rsid w:val="006D491E"/>
    <w:rsid w:val="006D61E8"/>
    <w:rsid w:val="006D75C2"/>
    <w:rsid w:val="006E0310"/>
    <w:rsid w:val="006F7301"/>
    <w:rsid w:val="007053FE"/>
    <w:rsid w:val="00722D6B"/>
    <w:rsid w:val="0072655D"/>
    <w:rsid w:val="00731FFE"/>
    <w:rsid w:val="00750F89"/>
    <w:rsid w:val="00772D81"/>
    <w:rsid w:val="007840FC"/>
    <w:rsid w:val="007A5EF3"/>
    <w:rsid w:val="007B0E71"/>
    <w:rsid w:val="007C42ED"/>
    <w:rsid w:val="007D17EB"/>
    <w:rsid w:val="007D3093"/>
    <w:rsid w:val="007D4F4D"/>
    <w:rsid w:val="007D6524"/>
    <w:rsid w:val="007E67F4"/>
    <w:rsid w:val="008027C1"/>
    <w:rsid w:val="00803F87"/>
    <w:rsid w:val="00805ADA"/>
    <w:rsid w:val="00815047"/>
    <w:rsid w:val="00822E7E"/>
    <w:rsid w:val="0082698D"/>
    <w:rsid w:val="00830D3A"/>
    <w:rsid w:val="00851EEE"/>
    <w:rsid w:val="0087495F"/>
    <w:rsid w:val="00874A46"/>
    <w:rsid w:val="008B2E0B"/>
    <w:rsid w:val="008C406A"/>
    <w:rsid w:val="008F06FE"/>
    <w:rsid w:val="008F6D4F"/>
    <w:rsid w:val="00916CD3"/>
    <w:rsid w:val="00926CE3"/>
    <w:rsid w:val="009564A3"/>
    <w:rsid w:val="00961659"/>
    <w:rsid w:val="00966653"/>
    <w:rsid w:val="00985B18"/>
    <w:rsid w:val="009B73F4"/>
    <w:rsid w:val="009D018A"/>
    <w:rsid w:val="00A12B2D"/>
    <w:rsid w:val="00A47B2C"/>
    <w:rsid w:val="00A57421"/>
    <w:rsid w:val="00A719A5"/>
    <w:rsid w:val="00A71E26"/>
    <w:rsid w:val="00A92544"/>
    <w:rsid w:val="00A93A74"/>
    <w:rsid w:val="00AC3CF8"/>
    <w:rsid w:val="00AC7772"/>
    <w:rsid w:val="00AD4A27"/>
    <w:rsid w:val="00AD6D74"/>
    <w:rsid w:val="00AE45DC"/>
    <w:rsid w:val="00B12756"/>
    <w:rsid w:val="00B21B5A"/>
    <w:rsid w:val="00B237CD"/>
    <w:rsid w:val="00B24F34"/>
    <w:rsid w:val="00B4515A"/>
    <w:rsid w:val="00B5126C"/>
    <w:rsid w:val="00B616C8"/>
    <w:rsid w:val="00B62FF9"/>
    <w:rsid w:val="00B732A2"/>
    <w:rsid w:val="00B8324C"/>
    <w:rsid w:val="00B855E7"/>
    <w:rsid w:val="00B93C42"/>
    <w:rsid w:val="00BB04A0"/>
    <w:rsid w:val="00BB75B4"/>
    <w:rsid w:val="00BB7A78"/>
    <w:rsid w:val="00BE1CA0"/>
    <w:rsid w:val="00BE4AD0"/>
    <w:rsid w:val="00BF51B5"/>
    <w:rsid w:val="00BF7A0B"/>
    <w:rsid w:val="00C2207F"/>
    <w:rsid w:val="00C65D94"/>
    <w:rsid w:val="00C80EAF"/>
    <w:rsid w:val="00CB2292"/>
    <w:rsid w:val="00CE2439"/>
    <w:rsid w:val="00CF1024"/>
    <w:rsid w:val="00CF1204"/>
    <w:rsid w:val="00CF2E92"/>
    <w:rsid w:val="00D0129B"/>
    <w:rsid w:val="00D149CB"/>
    <w:rsid w:val="00D155BD"/>
    <w:rsid w:val="00D1602F"/>
    <w:rsid w:val="00D51CD8"/>
    <w:rsid w:val="00D55883"/>
    <w:rsid w:val="00D61AEC"/>
    <w:rsid w:val="00D6234B"/>
    <w:rsid w:val="00D72D51"/>
    <w:rsid w:val="00D76E60"/>
    <w:rsid w:val="00D7756D"/>
    <w:rsid w:val="00D953E4"/>
    <w:rsid w:val="00DA49B9"/>
    <w:rsid w:val="00DC5AF9"/>
    <w:rsid w:val="00DC6719"/>
    <w:rsid w:val="00DD073B"/>
    <w:rsid w:val="00E0200D"/>
    <w:rsid w:val="00E2522F"/>
    <w:rsid w:val="00E305A8"/>
    <w:rsid w:val="00E40FF4"/>
    <w:rsid w:val="00E527ED"/>
    <w:rsid w:val="00E57ADC"/>
    <w:rsid w:val="00E67DBA"/>
    <w:rsid w:val="00E80A7F"/>
    <w:rsid w:val="00E910D7"/>
    <w:rsid w:val="00E915ED"/>
    <w:rsid w:val="00EA2080"/>
    <w:rsid w:val="00EB0638"/>
    <w:rsid w:val="00EB73BE"/>
    <w:rsid w:val="00EB7A44"/>
    <w:rsid w:val="00EC2BCE"/>
    <w:rsid w:val="00EC2C25"/>
    <w:rsid w:val="00ED292A"/>
    <w:rsid w:val="00EF4A03"/>
    <w:rsid w:val="00F07075"/>
    <w:rsid w:val="00F10860"/>
    <w:rsid w:val="00F11920"/>
    <w:rsid w:val="00F20739"/>
    <w:rsid w:val="00F3100E"/>
    <w:rsid w:val="00F36A8B"/>
    <w:rsid w:val="00F430AA"/>
    <w:rsid w:val="00F45B48"/>
    <w:rsid w:val="00F609DE"/>
    <w:rsid w:val="00F747CD"/>
    <w:rsid w:val="00F84715"/>
    <w:rsid w:val="00FB3457"/>
    <w:rsid w:val="00FB3E0E"/>
    <w:rsid w:val="00FD0900"/>
    <w:rsid w:val="00FD127A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F58D4-6F0D-434A-892C-060CFF7E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9A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9A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719A5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719A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719A5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719A5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locked/>
    <w:rsid w:val="00A719A5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719A5"/>
    <w:rPr>
      <w:sz w:val="2"/>
      <w:szCs w:val="2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DA74-4290-4A8F-A65F-66A801FC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36</cp:revision>
  <cp:lastPrinted>2017-10-12T05:42:00Z</cp:lastPrinted>
  <dcterms:created xsi:type="dcterms:W3CDTF">2017-03-28T09:02:00Z</dcterms:created>
  <dcterms:modified xsi:type="dcterms:W3CDTF">2017-12-08T13:04:00Z</dcterms:modified>
</cp:coreProperties>
</file>